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FC1" w:rsidRDefault="00FD461B">
      <w:pPr>
        <w:pStyle w:val="Standard"/>
        <w:jc w:val="center"/>
        <w:rPr>
          <w:b/>
          <w:bCs/>
          <w:smallCaps/>
          <w:sz w:val="36"/>
        </w:rPr>
      </w:pPr>
      <w:r>
        <w:rPr>
          <w:b/>
          <w:bCs/>
          <w:smallCaps/>
          <w:sz w:val="36"/>
        </w:rPr>
        <w:t xml:space="preserve">   </w:t>
      </w:r>
      <w:r>
        <w:rPr>
          <w:b/>
          <w:bCs/>
          <w:smallCaps/>
          <w:sz w:val="36"/>
        </w:rPr>
        <w:tab/>
      </w:r>
      <w:r>
        <w:rPr>
          <w:b/>
          <w:bCs/>
          <w:smallCaps/>
          <w:sz w:val="36"/>
        </w:rPr>
        <w:tab/>
      </w:r>
      <w:r>
        <w:rPr>
          <w:b/>
          <w:bCs/>
          <w:smallCaps/>
          <w:sz w:val="36"/>
        </w:rPr>
        <w:tab/>
      </w:r>
      <w:r>
        <w:rPr>
          <w:b/>
          <w:bCs/>
          <w:smallCaps/>
          <w:sz w:val="36"/>
        </w:rPr>
        <w:tab/>
      </w:r>
      <w:r>
        <w:rPr>
          <w:b/>
          <w:bCs/>
          <w:smallCaps/>
          <w:sz w:val="36"/>
        </w:rPr>
        <w:tab/>
      </w:r>
      <w:r>
        <w:rPr>
          <w:b/>
          <w:bCs/>
          <w:smallCaps/>
          <w:sz w:val="36"/>
        </w:rPr>
        <w:tab/>
      </w:r>
    </w:p>
    <w:p w:rsidR="004D0FC1" w:rsidRDefault="00FD461B">
      <w:pPr>
        <w:pStyle w:val="Standard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:rsidR="004D0FC1" w:rsidRDefault="00FD461B">
      <w:pPr>
        <w:pStyle w:val="Standard"/>
        <w:spacing w:line="240" w:lineRule="exact"/>
        <w:jc w:val="center"/>
      </w:pPr>
      <w:r>
        <w:rPr>
          <w:rFonts w:ascii="Corbel" w:hAnsi="Corbel"/>
          <w:b/>
          <w:smallCaps/>
        </w:rPr>
        <w:t xml:space="preserve">dotyczy cyklu kształcenia </w:t>
      </w:r>
      <w:r w:rsidR="00EF30E5">
        <w:rPr>
          <w:rFonts w:ascii="Corbel" w:hAnsi="Corbel"/>
          <w:i/>
          <w:smallCaps/>
        </w:rPr>
        <w:t>....2020</w:t>
      </w:r>
      <w:r>
        <w:rPr>
          <w:rFonts w:ascii="Corbel" w:hAnsi="Corbel"/>
          <w:i/>
          <w:smallCaps/>
        </w:rPr>
        <w:t>-2023</w:t>
      </w:r>
    </w:p>
    <w:p w:rsidR="004D0FC1" w:rsidRDefault="00FD461B">
      <w:pPr>
        <w:pStyle w:val="Standard"/>
        <w:spacing w:line="240" w:lineRule="exact"/>
        <w:jc w:val="both"/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4D0FC1" w:rsidRDefault="00EF30E5">
      <w:pPr>
        <w:pStyle w:val="Standard"/>
        <w:spacing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...2021-2022</w:t>
      </w:r>
      <w:bookmarkStart w:id="0" w:name="_GoBack"/>
      <w:bookmarkEnd w:id="0"/>
      <w:r w:rsidR="00FD461B">
        <w:rPr>
          <w:rFonts w:ascii="Corbel" w:hAnsi="Corbel"/>
          <w:sz w:val="20"/>
          <w:szCs w:val="20"/>
        </w:rPr>
        <w:t>.............</w:t>
      </w:r>
    </w:p>
    <w:p w:rsidR="004D0FC1" w:rsidRDefault="004D0FC1">
      <w:pPr>
        <w:pStyle w:val="Standard"/>
        <w:rPr>
          <w:rFonts w:ascii="Corbel" w:hAnsi="Corbel"/>
        </w:rPr>
      </w:pPr>
    </w:p>
    <w:p w:rsidR="004D0FC1" w:rsidRDefault="00FD461B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1. Podstawowe informacje o przedmiocie</w:t>
      </w:r>
    </w:p>
    <w:tbl>
      <w:tblPr>
        <w:tblW w:w="9781" w:type="dxa"/>
        <w:tblInd w:w="-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3"/>
        <w:gridCol w:w="7088"/>
      </w:tblGrid>
      <w:tr w:rsidR="004D0FC1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Pytania"/>
              <w:spacing w:before="100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Historia filozofii polskiej</w:t>
            </w:r>
          </w:p>
        </w:tc>
      </w:tr>
      <w:tr w:rsidR="004D0FC1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Pytania"/>
              <w:spacing w:before="100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4D0FC1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</w:rPr>
            </w:pPr>
          </w:p>
        </w:tc>
      </w:tr>
      <w:tr w:rsidR="004D0FC1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Kolegium Humanistyczne</w:t>
            </w:r>
          </w:p>
        </w:tc>
      </w:tr>
      <w:tr w:rsidR="004D0FC1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Pytania"/>
              <w:spacing w:before="100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 xml:space="preserve">Instytut Filozofii </w:t>
            </w:r>
            <w:proofErr w:type="spellStart"/>
            <w:r>
              <w:rPr>
                <w:rFonts w:ascii="Corbel" w:hAnsi="Corbel"/>
                <w:b w:val="0"/>
                <w:sz w:val="24"/>
              </w:rPr>
              <w:t>URz</w:t>
            </w:r>
            <w:proofErr w:type="spellEnd"/>
          </w:p>
        </w:tc>
      </w:tr>
      <w:tr w:rsidR="004D0FC1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Pytania"/>
              <w:spacing w:before="100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Filozofia</w:t>
            </w:r>
          </w:p>
        </w:tc>
      </w:tr>
      <w:tr w:rsidR="004D0FC1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Pytania"/>
              <w:spacing w:before="100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studiów                     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I st.</w:t>
            </w:r>
          </w:p>
        </w:tc>
      </w:tr>
      <w:tr w:rsidR="004D0FC1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Pytania"/>
              <w:spacing w:before="100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Ogólny</w:t>
            </w:r>
          </w:p>
        </w:tc>
      </w:tr>
      <w:tr w:rsidR="004D0FC1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Pytania"/>
              <w:spacing w:before="100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stacjonarny</w:t>
            </w:r>
          </w:p>
        </w:tc>
      </w:tr>
      <w:tr w:rsidR="004D0FC1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Pytania"/>
              <w:spacing w:before="100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 xml:space="preserve">II, </w:t>
            </w:r>
            <w:proofErr w:type="spellStart"/>
            <w:r>
              <w:rPr>
                <w:rFonts w:ascii="Corbel" w:hAnsi="Corbel"/>
                <w:b w:val="0"/>
                <w:sz w:val="24"/>
              </w:rPr>
              <w:t>sem.III</w:t>
            </w:r>
            <w:proofErr w:type="spellEnd"/>
          </w:p>
        </w:tc>
      </w:tr>
      <w:tr w:rsidR="004D0FC1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Pytania"/>
              <w:spacing w:before="100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Wykład  + ćwiczenia</w:t>
            </w:r>
          </w:p>
        </w:tc>
      </w:tr>
      <w:tr w:rsidR="004D0FC1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Pytania"/>
              <w:spacing w:before="100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polski</w:t>
            </w:r>
          </w:p>
        </w:tc>
      </w:tr>
      <w:tr w:rsidR="004D0FC1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Pytania"/>
              <w:spacing w:before="100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 xml:space="preserve">Prof. dr hab. Leszek </w:t>
            </w:r>
            <w:proofErr w:type="spellStart"/>
            <w:r>
              <w:rPr>
                <w:rFonts w:ascii="Corbel" w:hAnsi="Corbel"/>
                <w:b w:val="0"/>
                <w:sz w:val="24"/>
              </w:rPr>
              <w:t>Gawor</w:t>
            </w:r>
            <w:proofErr w:type="spellEnd"/>
          </w:p>
        </w:tc>
      </w:tr>
      <w:tr w:rsidR="004D0FC1">
        <w:tc>
          <w:tcPr>
            <w:tcW w:w="26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Pytania"/>
              <w:spacing w:before="100" w:after="10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Odpowiedzi"/>
              <w:spacing w:before="100" w:after="100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 xml:space="preserve">Prof. dr hab. Leszek </w:t>
            </w:r>
            <w:proofErr w:type="spellStart"/>
            <w:r>
              <w:rPr>
                <w:rFonts w:ascii="Corbel" w:hAnsi="Corbel"/>
                <w:b w:val="0"/>
                <w:sz w:val="24"/>
              </w:rPr>
              <w:t>Gawor</w:t>
            </w:r>
            <w:proofErr w:type="spellEnd"/>
          </w:p>
        </w:tc>
      </w:tr>
    </w:tbl>
    <w:p w:rsidR="004D0FC1" w:rsidRDefault="00FD461B">
      <w:pPr>
        <w:pStyle w:val="Podpunkty"/>
        <w:spacing w:before="100" w:after="100"/>
        <w:ind w:left="0"/>
      </w:pPr>
      <w:r>
        <w:rPr>
          <w:rFonts w:ascii="Corbel" w:hAnsi="Corbel"/>
          <w:szCs w:val="24"/>
        </w:rPr>
        <w:t xml:space="preserve">* </w:t>
      </w:r>
      <w:r>
        <w:rPr>
          <w:rFonts w:ascii="Corbel" w:hAnsi="Corbel"/>
          <w:i/>
          <w:szCs w:val="24"/>
        </w:rPr>
        <w:t>-</w:t>
      </w:r>
      <w:r>
        <w:rPr>
          <w:rFonts w:ascii="Corbel" w:hAnsi="Corbel"/>
          <w:b w:val="0"/>
          <w:i/>
          <w:szCs w:val="24"/>
        </w:rPr>
        <w:t>opcjonalni</w:t>
      </w:r>
      <w:r>
        <w:rPr>
          <w:rFonts w:ascii="Corbel" w:hAnsi="Corbel"/>
          <w:b w:val="0"/>
          <w:szCs w:val="24"/>
        </w:rPr>
        <w:t>e,</w:t>
      </w:r>
      <w:r>
        <w:rPr>
          <w:rFonts w:ascii="Corbel" w:hAnsi="Corbel"/>
          <w:i/>
          <w:szCs w:val="24"/>
        </w:rPr>
        <w:t xml:space="preserve"> </w:t>
      </w:r>
      <w:r>
        <w:rPr>
          <w:rFonts w:ascii="Corbel" w:hAnsi="Corbel"/>
          <w:b w:val="0"/>
          <w:i/>
          <w:szCs w:val="24"/>
        </w:rPr>
        <w:t>zgodnie z ustaleniami w Jednostce</w:t>
      </w:r>
    </w:p>
    <w:p w:rsidR="004D0FC1" w:rsidRDefault="004D0FC1">
      <w:pPr>
        <w:pStyle w:val="Podpunkty"/>
        <w:ind w:left="0"/>
        <w:rPr>
          <w:rFonts w:ascii="Corbel" w:hAnsi="Corbel"/>
          <w:szCs w:val="24"/>
        </w:rPr>
      </w:pPr>
    </w:p>
    <w:p w:rsidR="004D0FC1" w:rsidRDefault="00FD461B">
      <w:pPr>
        <w:pStyle w:val="Podpunkty"/>
        <w:ind w:left="284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1.1.Formy zajęć dydaktycznych, wymiar godzin i punktów ECTS</w:t>
      </w:r>
    </w:p>
    <w:p w:rsidR="004D0FC1" w:rsidRDefault="004D0FC1">
      <w:pPr>
        <w:pStyle w:val="Podpunkty"/>
        <w:ind w:left="0"/>
        <w:rPr>
          <w:rFonts w:ascii="Corbel" w:hAnsi="Corbel"/>
          <w:szCs w:val="24"/>
        </w:rPr>
      </w:pPr>
    </w:p>
    <w:tbl>
      <w:tblPr>
        <w:tblW w:w="9748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47"/>
        <w:gridCol w:w="922"/>
        <w:gridCol w:w="800"/>
        <w:gridCol w:w="850"/>
        <w:gridCol w:w="811"/>
        <w:gridCol w:w="827"/>
        <w:gridCol w:w="779"/>
        <w:gridCol w:w="957"/>
        <w:gridCol w:w="1206"/>
        <w:gridCol w:w="1549"/>
      </w:tblGrid>
      <w:tr w:rsidR="004D0FC1"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Nagwkitablic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Semestr</w:t>
            </w:r>
          </w:p>
          <w:p w:rsidR="004D0FC1" w:rsidRDefault="00FD461B">
            <w:pPr>
              <w:pStyle w:val="Nagwkitablic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(nr)</w:t>
            </w: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Nagwkitablic"/>
              <w:jc w:val="center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Wykł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  <w:tc>
          <w:tcPr>
            <w:tcW w:w="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Nagwkitablic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Nagwkitablic"/>
              <w:jc w:val="center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Konw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Nagwkitablic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Nagwkitablic"/>
              <w:jc w:val="center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Sem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Nagwkitablic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Nagwkitablic"/>
              <w:jc w:val="center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Prakt</w:t>
            </w:r>
            <w:proofErr w:type="spellEnd"/>
            <w:r>
              <w:rPr>
                <w:rFonts w:ascii="Corbel" w:hAnsi="Corbel"/>
              </w:rPr>
              <w:t>.</w:t>
            </w:r>
          </w:p>
        </w:tc>
        <w:tc>
          <w:tcPr>
            <w:tcW w:w="1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Nagwkitablic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(jakie?)</w:t>
            </w:r>
          </w:p>
        </w:tc>
        <w:tc>
          <w:tcPr>
            <w:tcW w:w="1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Nagwkitablic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Liczba pkt. ECTS</w:t>
            </w:r>
          </w:p>
        </w:tc>
      </w:tr>
      <w:tr w:rsidR="004D0FC1">
        <w:trPr>
          <w:trHeight w:val="453"/>
        </w:trPr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4D0F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4D0F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4D0F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4D0F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4D0F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4D0F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4D0F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D0FC1">
        <w:trPr>
          <w:trHeight w:val="453"/>
        </w:trPr>
        <w:tc>
          <w:tcPr>
            <w:tcW w:w="104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4D0F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4D0F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4D0F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4D0F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4D0F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4D0F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4D0F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4D0F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4D0F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4D0FC1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4D0FC1" w:rsidRDefault="004D0FC1">
      <w:pPr>
        <w:pStyle w:val="Podpunkty"/>
        <w:ind w:left="0"/>
        <w:rPr>
          <w:rFonts w:ascii="Corbel" w:hAnsi="Corbel"/>
          <w:b w:val="0"/>
          <w:szCs w:val="24"/>
          <w:lang w:eastAsia="en-US"/>
        </w:rPr>
      </w:pPr>
    </w:p>
    <w:p w:rsidR="004D0FC1" w:rsidRDefault="004D0FC1">
      <w:pPr>
        <w:pStyle w:val="Podpunkty"/>
        <w:rPr>
          <w:rFonts w:ascii="Corbel" w:hAnsi="Corbel"/>
          <w:b w:val="0"/>
          <w:szCs w:val="24"/>
          <w:lang w:eastAsia="en-US"/>
        </w:rPr>
      </w:pPr>
    </w:p>
    <w:p w:rsidR="004D0FC1" w:rsidRDefault="00FD461B">
      <w:pPr>
        <w:pStyle w:val="Punktygwne"/>
        <w:tabs>
          <w:tab w:val="left" w:pos="993"/>
        </w:tabs>
        <w:spacing w:before="0" w:after="0"/>
        <w:ind w:left="284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>1.2.</w:t>
      </w:r>
      <w:r>
        <w:rPr>
          <w:rFonts w:ascii="Corbel" w:hAnsi="Corbel"/>
          <w:smallCaps w:val="0"/>
        </w:rPr>
        <w:tab/>
        <w:t xml:space="preserve">Sposób realizacji zajęć  </w:t>
      </w:r>
    </w:p>
    <w:p w:rsidR="004D0FC1" w:rsidRDefault="00FD461B">
      <w:pPr>
        <w:pStyle w:val="Punktygwne"/>
        <w:spacing w:before="0" w:after="0"/>
        <w:ind w:left="709"/>
      </w:pPr>
      <w:r>
        <w:rPr>
          <w:rFonts w:ascii="MS Gothic" w:eastAsia="MS Gothic" w:hAnsi="MS Gothic" w:cs="MS Gothic"/>
          <w:b w:val="0"/>
        </w:rPr>
        <w:t>☐TAK</w:t>
      </w:r>
      <w:r>
        <w:rPr>
          <w:rFonts w:ascii="Corbel" w:hAnsi="Corbel"/>
          <w:b w:val="0"/>
          <w:smallCaps w:val="0"/>
        </w:rPr>
        <w:t xml:space="preserve"> zajęcia w formie on </w:t>
      </w:r>
      <w:proofErr w:type="spellStart"/>
      <w:r>
        <w:rPr>
          <w:rFonts w:ascii="Corbel" w:hAnsi="Corbel"/>
          <w:b w:val="0"/>
          <w:smallCaps w:val="0"/>
        </w:rPr>
        <w:t>line</w:t>
      </w:r>
      <w:proofErr w:type="spellEnd"/>
    </w:p>
    <w:p w:rsidR="004D0FC1" w:rsidRDefault="00FD461B">
      <w:pPr>
        <w:pStyle w:val="Punktygwne"/>
        <w:spacing w:before="0" w:after="0"/>
        <w:ind w:left="709"/>
      </w:pPr>
      <w:r>
        <w:rPr>
          <w:rFonts w:ascii="MS Gothic" w:eastAsia="MS Gothic" w:hAnsi="MS Gothic" w:cs="MS Gothic"/>
          <w:b w:val="0"/>
        </w:rPr>
        <w:t xml:space="preserve">☐TAK </w:t>
      </w:r>
      <w:r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:rsidR="004D0FC1" w:rsidRDefault="004D0FC1">
      <w:pPr>
        <w:pStyle w:val="Punktygwne"/>
        <w:spacing w:before="0" w:after="0"/>
        <w:rPr>
          <w:rFonts w:ascii="Corbel" w:hAnsi="Corbel"/>
          <w:smallCaps w:val="0"/>
        </w:rPr>
      </w:pPr>
    </w:p>
    <w:p w:rsidR="004D0FC1" w:rsidRDefault="00FD461B">
      <w:pPr>
        <w:pStyle w:val="Punktygwne"/>
        <w:tabs>
          <w:tab w:val="left" w:pos="1418"/>
        </w:tabs>
        <w:spacing w:before="0" w:after="0"/>
        <w:ind w:left="709" w:hanging="425"/>
      </w:pPr>
      <w:r>
        <w:rPr>
          <w:rFonts w:ascii="Corbel" w:hAnsi="Corbel"/>
          <w:smallCaps w:val="0"/>
        </w:rPr>
        <w:lastRenderedPageBreak/>
        <w:t xml:space="preserve">1.3 </w:t>
      </w:r>
      <w:r>
        <w:rPr>
          <w:rFonts w:ascii="Corbel" w:hAnsi="Corbel"/>
          <w:smallCaps w:val="0"/>
        </w:rPr>
        <w:tab/>
        <w:t xml:space="preserve">Forma zaliczenia przedmiotu  (z toku) </w:t>
      </w:r>
      <w:r>
        <w:rPr>
          <w:rFonts w:ascii="Corbel" w:hAnsi="Corbel"/>
          <w:b w:val="0"/>
          <w:smallCaps w:val="0"/>
        </w:rPr>
        <w:t>(egzamin,</w:t>
      </w:r>
      <w:r>
        <w:rPr>
          <w:rFonts w:ascii="Corbel" w:hAnsi="Corbel"/>
          <w:bCs/>
          <w:smallCaps w:val="0"/>
        </w:rPr>
        <w:t xml:space="preserve"> zaliczenie z oceną,</w:t>
      </w:r>
      <w:r>
        <w:rPr>
          <w:rFonts w:ascii="Corbel" w:hAnsi="Corbel"/>
          <w:b w:val="0"/>
          <w:smallCaps w:val="0"/>
        </w:rPr>
        <w:t xml:space="preserve"> zaliczenie bez oceny)</w:t>
      </w:r>
    </w:p>
    <w:p w:rsidR="004D0FC1" w:rsidRDefault="00FD461B">
      <w:pPr>
        <w:pStyle w:val="Punktygwne"/>
        <w:spacing w:before="0" w:after="0"/>
        <w:rPr>
          <w:rFonts w:ascii="Corbel" w:hAnsi="Corbel"/>
          <w:b w:val="0"/>
        </w:rPr>
      </w:pPr>
      <w:r>
        <w:rPr>
          <w:rFonts w:ascii="Corbel" w:hAnsi="Corbel"/>
          <w:b w:val="0"/>
        </w:rPr>
        <w:tab/>
      </w:r>
      <w:r>
        <w:rPr>
          <w:rFonts w:ascii="Corbel" w:hAnsi="Corbel"/>
          <w:b w:val="0"/>
        </w:rPr>
        <w:tab/>
        <w:t>Egzamin z toku</w:t>
      </w:r>
    </w:p>
    <w:p w:rsidR="004D0FC1" w:rsidRDefault="004D0FC1">
      <w:pPr>
        <w:pStyle w:val="Punktygwne"/>
        <w:spacing w:before="0" w:after="0"/>
        <w:rPr>
          <w:rFonts w:ascii="Corbel" w:hAnsi="Corbel"/>
          <w:b w:val="0"/>
        </w:rPr>
      </w:pPr>
    </w:p>
    <w:p w:rsidR="004D0FC1" w:rsidRDefault="00FD461B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2.Wymagania wstępne</w:t>
      </w:r>
    </w:p>
    <w:tbl>
      <w:tblPr>
        <w:tblW w:w="9670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70"/>
      </w:tblGrid>
      <w:tr w:rsidR="004D0FC1">
        <w:tc>
          <w:tcPr>
            <w:tcW w:w="9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Standard"/>
              <w:snapToGrid w:val="0"/>
              <w:spacing w:after="200"/>
              <w:rPr>
                <w:rFonts w:ascii="Corbel" w:hAnsi="Corbel"/>
                <w:color w:val="000000"/>
              </w:rPr>
            </w:pPr>
            <w:r>
              <w:rPr>
                <w:rFonts w:ascii="Corbel" w:hAnsi="Corbel"/>
                <w:color w:val="000000"/>
              </w:rPr>
              <w:t>Student powinien dysponować ogólną wiedzą filozoficzną, z zakresu  historii filozofii oraz posiadać umiejętność pracy nad tekstem filozoficznym na poziomie pierwszego roku studiów filozoficznych pierwszego stopnia.</w:t>
            </w:r>
          </w:p>
          <w:p w:rsidR="004D0FC1" w:rsidRDefault="004D0FC1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</w:p>
        </w:tc>
      </w:tr>
    </w:tbl>
    <w:p w:rsidR="004D0FC1" w:rsidRDefault="004D0FC1">
      <w:pPr>
        <w:pStyle w:val="Punktygwne"/>
        <w:spacing w:before="0" w:after="0"/>
        <w:rPr>
          <w:rFonts w:ascii="Corbel" w:hAnsi="Corbel"/>
        </w:rPr>
      </w:pPr>
    </w:p>
    <w:p w:rsidR="004D0FC1" w:rsidRDefault="00FD461B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t>3. cele, efekty uczenia się , treści Programowe i stosowane metody Dydaktyczne</w:t>
      </w:r>
    </w:p>
    <w:p w:rsidR="004D0FC1" w:rsidRDefault="004D0FC1">
      <w:pPr>
        <w:pStyle w:val="Punktygwne"/>
        <w:spacing w:before="0" w:after="0"/>
        <w:rPr>
          <w:rFonts w:ascii="Corbel" w:hAnsi="Corbel"/>
        </w:rPr>
      </w:pPr>
    </w:p>
    <w:p w:rsidR="004D0FC1" w:rsidRDefault="00FD461B">
      <w:pPr>
        <w:pStyle w:val="Podpunkty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3.1 Cele przedmiotu</w:t>
      </w:r>
    </w:p>
    <w:p w:rsidR="004D0FC1" w:rsidRDefault="004D0FC1">
      <w:pPr>
        <w:pStyle w:val="Podpunkty"/>
        <w:rPr>
          <w:rFonts w:ascii="Corbel" w:hAnsi="Corbel"/>
          <w:b w:val="0"/>
          <w:i/>
          <w:szCs w:val="24"/>
        </w:rPr>
      </w:pPr>
    </w:p>
    <w:tbl>
      <w:tblPr>
        <w:tblW w:w="9670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9"/>
        <w:gridCol w:w="8821"/>
      </w:tblGrid>
      <w:tr w:rsidR="004D0FC1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C1</w:t>
            </w:r>
          </w:p>
        </w:tc>
        <w:tc>
          <w:tcPr>
            <w:tcW w:w="8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Poznanie filozofii polskiej</w:t>
            </w:r>
          </w:p>
        </w:tc>
      </w:tr>
      <w:tr w:rsidR="004D0FC1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Ukazanie mało znanych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filozfów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 polskich, niesłusznie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zapomnian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ych</w:t>
            </w:r>
            <w:proofErr w:type="spellEnd"/>
          </w:p>
        </w:tc>
      </w:tr>
      <w:tr w:rsidR="004D0FC1">
        <w:tc>
          <w:tcPr>
            <w:tcW w:w="8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Cn</w:t>
            </w:r>
            <w:proofErr w:type="spellEnd"/>
          </w:p>
        </w:tc>
        <w:tc>
          <w:tcPr>
            <w:tcW w:w="8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Prezentacja polskiej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filzofii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 xml:space="preserve"> na tle nurtów Zachodu</w:t>
            </w:r>
          </w:p>
        </w:tc>
      </w:tr>
    </w:tbl>
    <w:p w:rsidR="004D0FC1" w:rsidRDefault="004D0FC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</w:rPr>
      </w:pPr>
    </w:p>
    <w:p w:rsidR="004D0FC1" w:rsidRDefault="00FD461B">
      <w:pPr>
        <w:pStyle w:val="Standard"/>
        <w:ind w:left="426"/>
      </w:pPr>
      <w:r>
        <w:rPr>
          <w:rFonts w:ascii="Corbel" w:hAnsi="Corbel"/>
          <w:b/>
        </w:rPr>
        <w:t>3.2 Efekty uczenia się dla przedmiotu</w:t>
      </w:r>
    </w:p>
    <w:p w:rsidR="004D0FC1" w:rsidRDefault="004D0FC1">
      <w:pPr>
        <w:pStyle w:val="Standard"/>
        <w:rPr>
          <w:rFonts w:ascii="Corbel" w:hAnsi="Corbel"/>
        </w:rPr>
      </w:pPr>
    </w:p>
    <w:tbl>
      <w:tblPr>
        <w:tblW w:w="9670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99"/>
        <w:gridCol w:w="6096"/>
        <w:gridCol w:w="1875"/>
      </w:tblGrid>
      <w:tr w:rsidR="004D0FC1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smallCaps w:val="0"/>
              </w:rPr>
              <w:t>EK</w:t>
            </w:r>
            <w:r>
              <w:rPr>
                <w:rFonts w:ascii="Corbel" w:hAnsi="Corbel"/>
                <w:b w:val="0"/>
                <w:smallCaps w:val="0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Treść efektu uczenia się zdefiniowanego dla przedmiotu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Punktygwne"/>
              <w:spacing w:before="0" w:after="0"/>
              <w:jc w:val="center"/>
            </w:pPr>
            <w:r>
              <w:rPr>
                <w:rFonts w:ascii="Corbel" w:hAnsi="Corbel"/>
                <w:b w:val="0"/>
                <w:smallCaps w:val="0"/>
              </w:rPr>
              <w:t xml:space="preserve">Odniesienie do efektów  kierunkowych </w:t>
            </w:r>
            <w:r>
              <w:rPr>
                <w:rStyle w:val="Odwoanieprzypisudolnego"/>
              </w:rPr>
              <w:footnoteReference w:id="1"/>
            </w:r>
          </w:p>
        </w:tc>
      </w:tr>
      <w:tr w:rsidR="004D0FC1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Pojmuje student czym jest filozofia. Umie posługiwać się jej argumentacją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4D0F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  <w:tr w:rsidR="004D0FC1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Pojmuje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rowzój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myśli filozoficznej w toku dziejów.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4D0F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  <w:tr w:rsidR="004D0FC1">
        <w:tc>
          <w:tcPr>
            <w:tcW w:w="16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</w:rPr>
              <w:t>EK_n</w:t>
            </w:r>
            <w:proofErr w:type="spellEnd"/>
          </w:p>
        </w:tc>
        <w:tc>
          <w:tcPr>
            <w:tcW w:w="60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Dysponuje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umiętnością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filozoficznego oglądu świata</w:t>
            </w:r>
          </w:p>
        </w:tc>
        <w:tc>
          <w:tcPr>
            <w:tcW w:w="18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4D0F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:rsidR="004D0FC1" w:rsidRDefault="004D0FC1">
      <w:pPr>
        <w:pStyle w:val="Punktygwne"/>
        <w:spacing w:before="0" w:after="0"/>
        <w:rPr>
          <w:rFonts w:ascii="Corbel" w:hAnsi="Corbel"/>
          <w:b w:val="0"/>
        </w:rPr>
      </w:pPr>
    </w:p>
    <w:p w:rsidR="004D0FC1" w:rsidRDefault="00FD461B">
      <w:pPr>
        <w:pStyle w:val="Akapitzlist"/>
        <w:ind w:left="426"/>
        <w:jc w:val="both"/>
      </w:pPr>
      <w:r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:rsidR="004D0FC1" w:rsidRDefault="00FD461B">
      <w:pPr>
        <w:pStyle w:val="Akapitzlist"/>
        <w:numPr>
          <w:ilvl w:val="0"/>
          <w:numId w:val="16"/>
        </w:numPr>
        <w:spacing w:after="120"/>
        <w:jc w:val="both"/>
        <w:rPr>
          <w:rFonts w:ascii="Corbel" w:hAnsi="Corbel"/>
        </w:rPr>
      </w:pPr>
      <w:r>
        <w:rPr>
          <w:rFonts w:ascii="Corbel" w:hAnsi="Corbel"/>
        </w:rPr>
        <w:t>Problematyka wykładu + ćwiczeń</w:t>
      </w:r>
    </w:p>
    <w:p w:rsidR="004D0FC1" w:rsidRDefault="004D0FC1">
      <w:pPr>
        <w:pStyle w:val="Akapitzlist"/>
        <w:spacing w:after="120"/>
        <w:ind w:left="1080"/>
        <w:jc w:val="both"/>
        <w:rPr>
          <w:rFonts w:ascii="Corbel" w:hAnsi="Corbel"/>
        </w:rPr>
      </w:pPr>
    </w:p>
    <w:tbl>
      <w:tblPr>
        <w:tblW w:w="9639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9"/>
      </w:tblGrid>
      <w:tr w:rsidR="004D0FC1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Akapitzlist"/>
              <w:ind w:left="-250" w:firstLine="250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</w:t>
            </w:r>
          </w:p>
        </w:tc>
      </w:tr>
      <w:tr w:rsidR="004D0FC1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Akapitzlist"/>
              <w:numPr>
                <w:ilvl w:val="0"/>
                <w:numId w:val="17"/>
              </w:numPr>
              <w:snapToGrid w:val="0"/>
            </w:pPr>
            <w:r>
              <w:t>WYKŁADY:</w:t>
            </w:r>
          </w:p>
          <w:p w:rsidR="004D0FC1" w:rsidRDefault="004D0FC1">
            <w:pPr>
              <w:pStyle w:val="Standard"/>
            </w:pPr>
          </w:p>
          <w:p w:rsidR="004D0FC1" w:rsidRDefault="00FD461B">
            <w:pPr>
              <w:pStyle w:val="Akapitzlist"/>
              <w:numPr>
                <w:ilvl w:val="0"/>
                <w:numId w:val="18"/>
              </w:numPr>
              <w:rPr>
                <w:b/>
              </w:rPr>
            </w:pPr>
            <w:r>
              <w:rPr>
                <w:b/>
              </w:rPr>
              <w:t>Początki filozofii polskiej - średniowiecze (2 godz.)</w:t>
            </w:r>
          </w:p>
          <w:p w:rsidR="004D0FC1" w:rsidRDefault="00FD461B">
            <w:pPr>
              <w:pStyle w:val="Akapitzlist"/>
            </w:pPr>
            <w:r>
              <w:t xml:space="preserve">Omówienie kontekstu społeczno-kulturowego narodzin polskiej filozofii, jej źródeł, charakteru i tendencji. Teocentryzm, </w:t>
            </w:r>
            <w:proofErr w:type="spellStart"/>
            <w:r>
              <w:t>teologizm</w:t>
            </w:r>
            <w:proofErr w:type="spellEnd"/>
            <w:r>
              <w:t xml:space="preserve"> i teokracja. Przedstawienie najważniejszych postaci i poglądów polskiej filozofii średniowiecza: Marcin Polak, </w:t>
            </w:r>
            <w:proofErr w:type="spellStart"/>
            <w:r>
              <w:t>Witelon</w:t>
            </w:r>
            <w:proofErr w:type="spellEnd"/>
            <w:r>
              <w:t xml:space="preserve">, Franko z Polski, Akademia Krakowska, Paweł z </w:t>
            </w:r>
            <w:proofErr w:type="spellStart"/>
            <w:r>
              <w:t>Worczyna</w:t>
            </w:r>
            <w:proofErr w:type="spellEnd"/>
            <w:r>
              <w:t>, polska szkoła praw narodów (Stanisław ze Skarbimierza, Paweł Włodkowic), arystotelizm w Akademii Krakowskiej (Hesse, Wężyk, Jan ze Stobnicy), Mateusz z Krakowa, Jan Ostroróg.</w:t>
            </w:r>
          </w:p>
          <w:p w:rsidR="004D0FC1" w:rsidRDefault="004D0FC1">
            <w:pPr>
              <w:pStyle w:val="Standard"/>
            </w:pPr>
          </w:p>
          <w:p w:rsidR="004D0FC1" w:rsidRDefault="00FD461B">
            <w:pPr>
              <w:pStyle w:val="Akapitzlist"/>
              <w:numPr>
                <w:ilvl w:val="0"/>
                <w:numId w:val="10"/>
              </w:numPr>
              <w:rPr>
                <w:b/>
              </w:rPr>
            </w:pPr>
            <w:r>
              <w:rPr>
                <w:b/>
              </w:rPr>
              <w:t>Filozofia polska w Odrodzeniu i Baroku (ogólna charakterystyka) - 2 godz.</w:t>
            </w:r>
          </w:p>
          <w:p w:rsidR="004D0FC1" w:rsidRDefault="00FD461B">
            <w:pPr>
              <w:pStyle w:val="Akapitzlist"/>
            </w:pPr>
            <w:r>
              <w:t xml:space="preserve">Problematyka dociekań filozofów renesansu i baroku. Renesans antyku i humanizm via moderna. Koncyliaryzm, spór o trynitaryzm, sarmatyzm. Główne postacie, poglądy i ich </w:t>
            </w:r>
            <w:r>
              <w:lastRenderedPageBreak/>
              <w:t>znaczenie dla polskiej oraz europejskiej filozofii.</w:t>
            </w:r>
          </w:p>
          <w:p w:rsidR="004D0FC1" w:rsidRDefault="00FD461B">
            <w:pPr>
              <w:pStyle w:val="Akapitzlist"/>
            </w:pPr>
            <w:r>
              <w:t xml:space="preserve">Grzegorz z Sanoka, Kopernik, Michał Sędziwój, Sebastian Petrycy z Pilzna, Szymon </w:t>
            </w:r>
            <w:proofErr w:type="spellStart"/>
            <w:r>
              <w:t>Marcius</w:t>
            </w:r>
            <w:proofErr w:type="spellEnd"/>
            <w:r>
              <w:t xml:space="preserve">; Biernat z Lublina, Mikołaj Rej, Łukasz Górnicki; A.F. Modrzewski, S. Orzechowski; Bielski, Starowolski; Kromer, Dębołęcki, </w:t>
            </w:r>
            <w:proofErr w:type="spellStart"/>
            <w:r>
              <w:t>Lubieniecki</w:t>
            </w:r>
            <w:proofErr w:type="spellEnd"/>
            <w:r>
              <w:t>, Stryjkowski (sarmatyzm); M.K. Sarbiewski, S. Leszczyński.</w:t>
            </w:r>
          </w:p>
          <w:p w:rsidR="004D0FC1" w:rsidRDefault="004D0FC1">
            <w:pPr>
              <w:pStyle w:val="Akapitzlist"/>
            </w:pPr>
          </w:p>
          <w:p w:rsidR="004D0FC1" w:rsidRDefault="00FD461B">
            <w:pPr>
              <w:pStyle w:val="Akapitzlist"/>
              <w:numPr>
                <w:ilvl w:val="0"/>
                <w:numId w:val="10"/>
              </w:numPr>
              <w:rPr>
                <w:b/>
              </w:rPr>
            </w:pPr>
            <w:r>
              <w:rPr>
                <w:b/>
              </w:rPr>
              <w:t>Filozofia polska w Oświeceniu – 2 godz.</w:t>
            </w:r>
          </w:p>
          <w:p w:rsidR="004D0FC1" w:rsidRDefault="00FD461B">
            <w:pPr>
              <w:pStyle w:val="Akapitzlist"/>
            </w:pPr>
            <w:r>
              <w:t>Nawiązanie filozofii polskiej do kultury europejskiej, polska filozofia kultury i religii w oświeceniu, zagadnienie filozofii wychowania i państwa, koncepcja „nowej nauki i filozofii”, historiozofia naturalistyczna polskiej filozofii oświecenia.</w:t>
            </w:r>
          </w:p>
          <w:p w:rsidR="004D0FC1" w:rsidRDefault="00FD461B">
            <w:pPr>
              <w:pStyle w:val="Akapitzlist"/>
            </w:pPr>
            <w:r>
              <w:t>Hugo Kołłątaj, S. Staszic, Jan Śniadecki, J.K. Szaniawski, F. Jaroński, J. Wybicki, W. Gutkowski</w:t>
            </w:r>
          </w:p>
          <w:p w:rsidR="004D0FC1" w:rsidRDefault="004D0FC1">
            <w:pPr>
              <w:pStyle w:val="Akapitzlist"/>
            </w:pPr>
          </w:p>
          <w:p w:rsidR="004D0FC1" w:rsidRDefault="00FD461B">
            <w:pPr>
              <w:pStyle w:val="Akapitzlist"/>
              <w:numPr>
                <w:ilvl w:val="0"/>
                <w:numId w:val="10"/>
              </w:numPr>
              <w:spacing w:before="240" w:after="200"/>
              <w:rPr>
                <w:b/>
              </w:rPr>
            </w:pPr>
            <w:r>
              <w:rPr>
                <w:b/>
              </w:rPr>
              <w:t>Filozofia polska w Romantyzmie – filozofia narodowa (2 godz.)</w:t>
            </w:r>
          </w:p>
          <w:p w:rsidR="004D0FC1" w:rsidRDefault="00FD461B">
            <w:pPr>
              <w:pStyle w:val="Akapitzlist"/>
            </w:pPr>
            <w:r>
              <w:t>Preromantyzm; filozofia mesjanistyczna i absolutna; historiozofia romantyzmu; polska filozofia narodowa, intuicjonizm, maksymalizm i uniwersalizm polskiej filozofii romantyzmu.</w:t>
            </w:r>
          </w:p>
          <w:p w:rsidR="004D0FC1" w:rsidRDefault="00FD461B">
            <w:pPr>
              <w:pStyle w:val="Akapitzlist"/>
            </w:pPr>
            <w:r>
              <w:t xml:space="preserve">J. Gołuchowski, M. Mochnacki, J.M.. </w:t>
            </w:r>
            <w:proofErr w:type="spellStart"/>
            <w:r>
              <w:t>Hoene</w:t>
            </w:r>
            <w:proofErr w:type="spellEnd"/>
            <w:r>
              <w:t>-Wroński; B. Trentowski, A. Cieszkowski, K. Libelt; E. Dembowski, H. Kamieński; A. Mickiewicz, J. Słowacki, Z. Krasiński.</w:t>
            </w:r>
          </w:p>
          <w:p w:rsidR="004D0FC1" w:rsidRDefault="004D0FC1">
            <w:pPr>
              <w:pStyle w:val="Standard"/>
            </w:pPr>
          </w:p>
          <w:p w:rsidR="004D0FC1" w:rsidRDefault="00FD461B">
            <w:pPr>
              <w:pStyle w:val="Akapitzlist"/>
              <w:numPr>
                <w:ilvl w:val="0"/>
                <w:numId w:val="10"/>
              </w:numPr>
              <w:rPr>
                <w:b/>
              </w:rPr>
            </w:pPr>
            <w:r>
              <w:rPr>
                <w:b/>
              </w:rPr>
              <w:t>Filozofia polska w Pozytywizmie (ogólna charakterystyka) – 2 godz.</w:t>
            </w:r>
          </w:p>
          <w:p w:rsidR="004D0FC1" w:rsidRDefault="00FD461B">
            <w:pPr>
              <w:pStyle w:val="Akapitzlist"/>
            </w:pPr>
            <w:r>
              <w:t>Pozytywizm filozofii polskiej a jej proweniencja europejska. Program filozofii pozytywnej, etyki naukowej oraz pedagogiki narodowej.</w:t>
            </w:r>
          </w:p>
          <w:p w:rsidR="004D0FC1" w:rsidRDefault="00FD461B">
            <w:pPr>
              <w:pStyle w:val="Akapitzlist"/>
            </w:pPr>
            <w:r>
              <w:t xml:space="preserve">J. Supiński, F. Krupiński; A. Świętochowski, J. Ochorowicz, F. Bogacki, W. Kozłowski; A. </w:t>
            </w:r>
            <w:proofErr w:type="spellStart"/>
            <w:r>
              <w:t>Mahrburg</w:t>
            </w:r>
            <w:proofErr w:type="spellEnd"/>
            <w:r>
              <w:t>, B. Limanowski, L. Gumplowicz; krakowska i warszawska szkoła historyczna.</w:t>
            </w:r>
          </w:p>
          <w:p w:rsidR="004D0FC1" w:rsidRDefault="00FD461B">
            <w:pPr>
              <w:pStyle w:val="Akapitzlist"/>
            </w:pPr>
            <w:r>
              <w:t xml:space="preserve"> </w:t>
            </w:r>
          </w:p>
          <w:p w:rsidR="004D0FC1" w:rsidRDefault="00FD461B">
            <w:pPr>
              <w:pStyle w:val="Akapitzlist"/>
              <w:numPr>
                <w:ilvl w:val="0"/>
                <w:numId w:val="10"/>
              </w:numPr>
              <w:rPr>
                <w:b/>
              </w:rPr>
            </w:pPr>
            <w:r>
              <w:rPr>
                <w:b/>
              </w:rPr>
              <w:t>Filozofia polska w Modernizmie – 2 godz.</w:t>
            </w:r>
          </w:p>
          <w:p w:rsidR="004D0FC1" w:rsidRDefault="00FD461B">
            <w:pPr>
              <w:pStyle w:val="Akapitzlist"/>
            </w:pPr>
            <w:r>
              <w:t>Neoromantyzm filozofii polskiej, filozofia kultury oraz filozofia dziejów, koncepcja pracy i państwa w modernizmie polskiej filozofii.</w:t>
            </w:r>
          </w:p>
          <w:p w:rsidR="004D0FC1" w:rsidRDefault="00FD461B">
            <w:pPr>
              <w:pStyle w:val="Akapitzlist"/>
            </w:pPr>
            <w:r>
              <w:t xml:space="preserve">S. Przybyszewski, W. Lutosławski, S. Szczepanowski, A. Chołoniewski; J. </w:t>
            </w:r>
            <w:proofErr w:type="spellStart"/>
            <w:r>
              <w:t>Kodisowa</w:t>
            </w:r>
            <w:proofErr w:type="spellEnd"/>
            <w:r>
              <w:t xml:space="preserve">, </w:t>
            </w:r>
            <w:proofErr w:type="spellStart"/>
            <w:r>
              <w:t>W.Heinrich</w:t>
            </w:r>
            <w:proofErr w:type="spellEnd"/>
            <w:r>
              <w:t>; E. Abramowski, S. Brzozowski.</w:t>
            </w:r>
          </w:p>
          <w:p w:rsidR="004D0FC1" w:rsidRDefault="004D0FC1">
            <w:pPr>
              <w:pStyle w:val="Akapitzlist"/>
            </w:pPr>
          </w:p>
          <w:p w:rsidR="004D0FC1" w:rsidRDefault="00FD461B">
            <w:pPr>
              <w:pStyle w:val="Akapitzlist"/>
              <w:numPr>
                <w:ilvl w:val="0"/>
                <w:numId w:val="10"/>
              </w:numPr>
              <w:rPr>
                <w:b/>
              </w:rPr>
            </w:pPr>
            <w:r>
              <w:rPr>
                <w:b/>
              </w:rPr>
              <w:t>Filozofia polska w międzywojniu – 2 godz.</w:t>
            </w:r>
          </w:p>
          <w:p w:rsidR="004D0FC1" w:rsidRDefault="00FD461B">
            <w:pPr>
              <w:pStyle w:val="Akapitzlist"/>
            </w:pPr>
            <w:r>
              <w:t>„</w:t>
            </w:r>
            <w:proofErr w:type="spellStart"/>
            <w:r>
              <w:t>Kulturalizm</w:t>
            </w:r>
            <w:proofErr w:type="spellEnd"/>
            <w:r>
              <w:t>” oraz materializm polskich myślicieli, historiozofia jako „</w:t>
            </w:r>
            <w:proofErr w:type="spellStart"/>
            <w:r>
              <w:t>psychodzieje</w:t>
            </w:r>
            <w:proofErr w:type="spellEnd"/>
            <w:r>
              <w:t>”, ontologia, gnozeologia, etyka, logika, fenomenologia filozofii polskiej w międzywojniu.</w:t>
            </w:r>
          </w:p>
          <w:p w:rsidR="004D0FC1" w:rsidRDefault="00FD461B">
            <w:pPr>
              <w:pStyle w:val="Akapitzlist"/>
            </w:pPr>
            <w:r>
              <w:t xml:space="preserve">L. Chwistek, S.I. Witkiewicz, F. Koneczny, F. Znaniecki, Szkoła lwowsko-warszawska, M. Zdziechowski, R. Ingarden, H. </w:t>
            </w:r>
            <w:proofErr w:type="spellStart"/>
            <w:r>
              <w:t>Elzenberg</w:t>
            </w:r>
            <w:proofErr w:type="spellEnd"/>
          </w:p>
          <w:p w:rsidR="004D0FC1" w:rsidRDefault="004D0FC1">
            <w:pPr>
              <w:pStyle w:val="Akapitzlist"/>
            </w:pPr>
          </w:p>
          <w:p w:rsidR="004D0FC1" w:rsidRDefault="00FD461B">
            <w:pPr>
              <w:pStyle w:val="Akapitzlist"/>
              <w:numPr>
                <w:ilvl w:val="0"/>
                <w:numId w:val="10"/>
              </w:numPr>
              <w:rPr>
                <w:b/>
              </w:rPr>
            </w:pPr>
            <w:r>
              <w:rPr>
                <w:b/>
              </w:rPr>
              <w:t>Filozofia polska po II wojnie światowej (ogólna charakterystyka) – 1 godz.</w:t>
            </w:r>
          </w:p>
          <w:p w:rsidR="004D0FC1" w:rsidRDefault="00FD461B">
            <w:pPr>
              <w:pStyle w:val="Akapitzlist"/>
            </w:pPr>
            <w:r>
              <w:t>Główne nurty, tendencje, szkoły i kierunki polskiej filozofii po drugiej wojnie światowej.</w:t>
            </w:r>
          </w:p>
          <w:p w:rsidR="004D0FC1" w:rsidRDefault="004D0FC1">
            <w:pPr>
              <w:pStyle w:val="Akapitzlist"/>
            </w:pPr>
          </w:p>
          <w:p w:rsidR="004D0FC1" w:rsidRDefault="00FD461B">
            <w:pPr>
              <w:pStyle w:val="Akapitzlist"/>
              <w:numPr>
                <w:ilvl w:val="0"/>
                <w:numId w:val="19"/>
              </w:numPr>
              <w:ind w:left="0" w:firstLine="0"/>
              <w:rPr>
                <w:rFonts w:cs="Times New Roman"/>
              </w:rPr>
            </w:pPr>
            <w:r>
              <w:rPr>
                <w:rFonts w:cs="Times New Roman"/>
              </w:rPr>
              <w:t>ĆWICZENIA (1-7)</w:t>
            </w:r>
          </w:p>
          <w:p w:rsidR="004D0FC1" w:rsidRDefault="00FD461B">
            <w:pPr>
              <w:pStyle w:val="Akapitzlist"/>
              <w:ind w:left="0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</w:t>
            </w:r>
          </w:p>
          <w:p w:rsidR="004D0FC1" w:rsidRDefault="00FD461B">
            <w:pPr>
              <w:pStyle w:val="Akapitzlist"/>
              <w:ind w:left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 xml:space="preserve">Problematyka ćwiczeń jest uzależniona od studenckich wyborów tematów do samodzielnego opracowania i przedstawienia ich na zajęciach w formie wprowadzenia (mini -referatu). Stanowić one mają podstawę do dyskusji. Akcenty będą tu padać na </w:t>
            </w:r>
            <w:proofErr w:type="spellStart"/>
            <w:r>
              <w:rPr>
                <w:rFonts w:cs="Times New Roman"/>
              </w:rPr>
              <w:t>małoznancy</w:t>
            </w:r>
            <w:proofErr w:type="spellEnd"/>
            <w:r>
              <w:rPr>
                <w:rFonts w:cs="Times New Roman"/>
              </w:rPr>
              <w:t xml:space="preserve"> filozofach, takich jak: Koneczny, Znaniecki, Zdziechowski, Stachniuka czy </w:t>
            </w:r>
            <w:proofErr w:type="spellStart"/>
            <w:r>
              <w:rPr>
                <w:rFonts w:cs="Times New Roman"/>
              </w:rPr>
              <w:t>Kochanowskiego-Korwina</w:t>
            </w:r>
            <w:proofErr w:type="spellEnd"/>
            <w:r>
              <w:rPr>
                <w:rFonts w:cs="Times New Roman"/>
              </w:rPr>
              <w:t xml:space="preserve">. Także, analogicznie do tematów wykładu, ćwicz. będą </w:t>
            </w:r>
            <w:proofErr w:type="spellStart"/>
            <w:r>
              <w:rPr>
                <w:rFonts w:cs="Times New Roman"/>
              </w:rPr>
              <w:t>poswięcone</w:t>
            </w:r>
            <w:proofErr w:type="spellEnd"/>
            <w:r>
              <w:rPr>
                <w:rFonts w:cs="Times New Roman"/>
              </w:rPr>
              <w:t xml:space="preserve"> rozszerzeniu ich treści o analityczne przedstawienie poglądów wybranych myślicieli.</w:t>
            </w:r>
          </w:p>
          <w:p w:rsidR="004D0FC1" w:rsidRDefault="004D0FC1">
            <w:pPr>
              <w:pStyle w:val="Akapitzlist"/>
              <w:ind w:left="0"/>
              <w:jc w:val="both"/>
              <w:rPr>
                <w:rFonts w:cs="Times New Roman"/>
              </w:rPr>
            </w:pPr>
          </w:p>
        </w:tc>
      </w:tr>
      <w:tr w:rsidR="004D0FC1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4D0FC1">
            <w:pPr>
              <w:pStyle w:val="Akapitzlist"/>
              <w:ind w:left="0"/>
              <w:rPr>
                <w:rFonts w:ascii="Corbel" w:hAnsi="Corbel"/>
              </w:rPr>
            </w:pPr>
          </w:p>
        </w:tc>
      </w:tr>
      <w:tr w:rsidR="004D0FC1">
        <w:tc>
          <w:tcPr>
            <w:tcW w:w="96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4D0FC1">
            <w:pPr>
              <w:pStyle w:val="Akapitzlist"/>
              <w:ind w:left="0"/>
              <w:rPr>
                <w:rFonts w:ascii="Corbel" w:hAnsi="Corbel"/>
              </w:rPr>
            </w:pPr>
          </w:p>
        </w:tc>
      </w:tr>
    </w:tbl>
    <w:p w:rsidR="004D0FC1" w:rsidRDefault="004D0FC1">
      <w:pPr>
        <w:pStyle w:val="Standard"/>
        <w:rPr>
          <w:rFonts w:ascii="Corbel" w:hAnsi="Corbel"/>
        </w:rPr>
      </w:pPr>
    </w:p>
    <w:tbl>
      <w:tblPr>
        <w:tblW w:w="9619" w:type="dxa"/>
        <w:tblInd w:w="2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19"/>
      </w:tblGrid>
      <w:tr w:rsidR="004D0FC1">
        <w:tc>
          <w:tcPr>
            <w:tcW w:w="9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Akapitzlist"/>
              <w:ind w:left="708" w:hanging="708"/>
              <w:rPr>
                <w:rFonts w:ascii="Corbel" w:hAnsi="Corbel"/>
              </w:rPr>
            </w:pPr>
            <w:r>
              <w:rPr>
                <w:rFonts w:ascii="Corbel" w:hAnsi="Corbel"/>
              </w:rPr>
              <w:t>Treści merytoryczne; jw.</w:t>
            </w:r>
          </w:p>
        </w:tc>
      </w:tr>
      <w:tr w:rsidR="004D0FC1">
        <w:tc>
          <w:tcPr>
            <w:tcW w:w="9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4D0FC1">
            <w:pPr>
              <w:pStyle w:val="Akapitzlist"/>
              <w:ind w:left="0"/>
              <w:rPr>
                <w:rFonts w:ascii="Corbel" w:hAnsi="Corbel"/>
              </w:rPr>
            </w:pPr>
          </w:p>
        </w:tc>
      </w:tr>
      <w:tr w:rsidR="004D0FC1">
        <w:tc>
          <w:tcPr>
            <w:tcW w:w="9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4D0FC1">
            <w:pPr>
              <w:pStyle w:val="Akapitzlist"/>
              <w:ind w:left="0"/>
              <w:rPr>
                <w:rFonts w:ascii="Corbel" w:hAnsi="Corbel"/>
              </w:rPr>
            </w:pPr>
          </w:p>
        </w:tc>
      </w:tr>
      <w:tr w:rsidR="004D0FC1">
        <w:tc>
          <w:tcPr>
            <w:tcW w:w="96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4D0FC1">
            <w:pPr>
              <w:pStyle w:val="Akapitzlist"/>
              <w:ind w:left="0"/>
              <w:rPr>
                <w:rFonts w:ascii="Corbel" w:hAnsi="Corbel"/>
              </w:rPr>
            </w:pPr>
          </w:p>
        </w:tc>
      </w:tr>
    </w:tbl>
    <w:p w:rsidR="004D0FC1" w:rsidRDefault="004D0FC1">
      <w:pPr>
        <w:pStyle w:val="Punktygwne"/>
        <w:spacing w:before="0" w:after="0"/>
        <w:rPr>
          <w:rFonts w:ascii="Corbel" w:hAnsi="Corbel"/>
          <w:b w:val="0"/>
        </w:rPr>
      </w:pPr>
    </w:p>
    <w:p w:rsidR="004D0FC1" w:rsidRDefault="00FD461B">
      <w:pPr>
        <w:pStyle w:val="Punktygwne"/>
        <w:spacing w:before="0" w:after="0"/>
        <w:ind w:left="426"/>
      </w:pPr>
      <w:r>
        <w:rPr>
          <w:rFonts w:ascii="Corbel" w:hAnsi="Corbel"/>
          <w:smallCaps w:val="0"/>
        </w:rPr>
        <w:t>3.4 Metody dydaktyczne</w:t>
      </w:r>
    </w:p>
    <w:p w:rsidR="004D0FC1" w:rsidRDefault="004D0FC1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:rsidR="004D0FC1" w:rsidRDefault="00FD461B">
      <w:pPr>
        <w:pStyle w:val="Punktygwne"/>
        <w:spacing w:before="0" w:after="0"/>
        <w:jc w:val="both"/>
      </w:pPr>
      <w:r>
        <w:rPr>
          <w:rFonts w:ascii="Corbel" w:hAnsi="Corbel"/>
          <w:b w:val="0"/>
          <w:smallCaps w:val="0"/>
          <w:sz w:val="20"/>
          <w:szCs w:val="20"/>
        </w:rPr>
        <w:t>Np</w:t>
      </w:r>
      <w:r>
        <w:rPr>
          <w:rFonts w:ascii="Corbel" w:hAnsi="Corbel"/>
          <w:sz w:val="20"/>
          <w:szCs w:val="20"/>
        </w:rPr>
        <w:t>.:</w:t>
      </w:r>
    </w:p>
    <w:p w:rsidR="004D0FC1" w:rsidRDefault="00FD461B">
      <w:pPr>
        <w:pStyle w:val="Punktygwne"/>
        <w:spacing w:before="0" w:after="0"/>
        <w:jc w:val="both"/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  <w:r>
        <w:rPr>
          <w:rFonts w:ascii="Corbel" w:hAnsi="Corbel"/>
          <w:bCs/>
          <w:i/>
          <w:smallCaps w:val="0"/>
          <w:sz w:val="20"/>
          <w:szCs w:val="20"/>
        </w:rPr>
        <w:t>Wykład: wykład problemowy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z prezentacją multimedialną, metody kształcenia na odległość</w:t>
      </w:r>
    </w:p>
    <w:p w:rsidR="004D0FC1" w:rsidRDefault="00FD461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Cs/>
          <w:i/>
          <w:smallCaps w:val="0"/>
          <w:sz w:val="20"/>
          <w:szCs w:val="20"/>
        </w:rPr>
        <w:t>Ćwiczenia: analiza tekstów z dyskusją, metoda projektów (projekt badawczy,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wdrożeniowy, praktyczny), praca w grupach (rozwiązywanie zadań, dyskusja),gry dydaktyczne, metody kształcenia na odległość</w:t>
      </w:r>
    </w:p>
    <w:p w:rsidR="004D0FC1" w:rsidRDefault="00FD461B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</w:p>
    <w:p w:rsidR="004D0FC1" w:rsidRDefault="004D0FC1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:rsidR="004D0FC1" w:rsidRDefault="00FD461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 xml:space="preserve">Wykład problemowy wraz z naciskiem położonym na </w:t>
      </w:r>
      <w:proofErr w:type="spellStart"/>
      <w:r>
        <w:rPr>
          <w:rFonts w:ascii="Corbel" w:hAnsi="Corbel"/>
          <w:smallCaps w:val="0"/>
        </w:rPr>
        <w:t>dyskusjie</w:t>
      </w:r>
      <w:proofErr w:type="spellEnd"/>
      <w:r>
        <w:rPr>
          <w:rFonts w:ascii="Corbel" w:hAnsi="Corbel"/>
          <w:smallCaps w:val="0"/>
        </w:rPr>
        <w:t xml:space="preserve">; są </w:t>
      </w:r>
      <w:proofErr w:type="spellStart"/>
      <w:r>
        <w:rPr>
          <w:rFonts w:ascii="Corbel" w:hAnsi="Corbel"/>
          <w:smallCaps w:val="0"/>
        </w:rPr>
        <w:t>dpuszczalne</w:t>
      </w:r>
      <w:proofErr w:type="spellEnd"/>
      <w:r>
        <w:rPr>
          <w:rFonts w:ascii="Corbel" w:hAnsi="Corbel"/>
          <w:smallCaps w:val="0"/>
        </w:rPr>
        <w:t xml:space="preserve"> wszelkie inne modelowanie zadań. Wręcz istnieją zachęty dla własnych dyskusji.</w:t>
      </w:r>
    </w:p>
    <w:p w:rsidR="004D0FC1" w:rsidRDefault="004D0FC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:rsidR="004D0FC1" w:rsidRDefault="004D0FC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:rsidR="004D0FC1" w:rsidRDefault="004D0FC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:rsidR="004D0FC1" w:rsidRDefault="00FD461B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>4. METODY I KRYTERIA OCENY</w:t>
      </w:r>
    </w:p>
    <w:p w:rsidR="004D0FC1" w:rsidRDefault="004D0FC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:rsidR="004D0FC1" w:rsidRDefault="00FD461B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>4.1 Sposoby weryfikacji efektów uczenia się</w:t>
      </w:r>
    </w:p>
    <w:p w:rsidR="004D0FC1" w:rsidRDefault="004D0FC1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9639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4"/>
        <w:gridCol w:w="5528"/>
        <w:gridCol w:w="2127"/>
      </w:tblGrid>
      <w:tr w:rsidR="004D0FC1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</w:rPr>
              <w:t>sie</w:t>
            </w:r>
            <w:proofErr w:type="spellEnd"/>
          </w:p>
          <w:p w:rsidR="004D0FC1" w:rsidRDefault="00FD46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Forma zajęć dydaktycznych</w:t>
            </w:r>
          </w:p>
          <w:p w:rsidR="004D0FC1" w:rsidRDefault="00FD46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>, …)</w:t>
            </w:r>
          </w:p>
        </w:tc>
      </w:tr>
      <w:tr w:rsidR="004D0FC1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>
              <w:rPr>
                <w:rFonts w:ascii="Corbel" w:hAnsi="Corbel"/>
                <w:b w:val="0"/>
              </w:rPr>
              <w:t>ek</w:t>
            </w:r>
            <w:proofErr w:type="spellEnd"/>
            <w:r>
              <w:rPr>
                <w:rFonts w:ascii="Corbel" w:hAnsi="Corbel"/>
                <w:b w:val="0"/>
              </w:rPr>
              <w:t xml:space="preserve">_ 01    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Punktygwne"/>
              <w:spacing w:before="0" w:after="0"/>
              <w:rPr>
                <w:rFonts w:ascii="Corbel" w:hAnsi="Corbel"/>
                <w:b w:val="0"/>
                <w:strike/>
              </w:rPr>
            </w:pPr>
            <w:proofErr w:type="spellStart"/>
            <w:r>
              <w:rPr>
                <w:rFonts w:ascii="Corbel" w:hAnsi="Corbel"/>
                <w:b w:val="0"/>
                <w:strike/>
              </w:rPr>
              <w:t>Aktywnośc</w:t>
            </w:r>
            <w:proofErr w:type="spellEnd"/>
            <w:r>
              <w:rPr>
                <w:rFonts w:ascii="Corbel" w:hAnsi="Corbel"/>
                <w:b w:val="0"/>
                <w:strike/>
              </w:rPr>
              <w:t xml:space="preserve"> na zajęciach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w. 3</w:t>
            </w:r>
          </w:p>
        </w:tc>
      </w:tr>
      <w:tr w:rsidR="004D0FC1">
        <w:tc>
          <w:tcPr>
            <w:tcW w:w="198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Punktygwne"/>
              <w:spacing w:before="0" w:after="0"/>
              <w:rPr>
                <w:b w:val="0"/>
              </w:rPr>
            </w:pPr>
            <w:r>
              <w:rPr>
                <w:b w:val="0"/>
              </w:rPr>
              <w:t>Pisemna Ocena z zaliczenia z ćwiczeń radykalnie wpływa na ocenę ostateczną.</w:t>
            </w:r>
          </w:p>
        </w:tc>
        <w:tc>
          <w:tcPr>
            <w:tcW w:w="212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>
              <w:rPr>
                <w:rFonts w:ascii="Corbel" w:hAnsi="Corbel"/>
                <w:b w:val="0"/>
              </w:rPr>
              <w:t>Ćwicz. 2</w:t>
            </w:r>
          </w:p>
        </w:tc>
      </w:tr>
    </w:tbl>
    <w:p w:rsidR="004D0FC1" w:rsidRDefault="004D0FC1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:rsidR="004D0FC1" w:rsidRDefault="00FD461B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>4.2 Warunki zaliczenia przedmiotu (kryteria oceniania)</w:t>
      </w:r>
    </w:p>
    <w:p w:rsidR="004D0FC1" w:rsidRDefault="004D0FC1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tbl>
      <w:tblPr>
        <w:tblW w:w="9670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70"/>
      </w:tblGrid>
      <w:tr w:rsidR="004D0FC1">
        <w:tc>
          <w:tcPr>
            <w:tcW w:w="96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Standard"/>
              <w:snapToGrid w:val="0"/>
            </w:pPr>
            <w:r>
              <w:rPr>
                <w:b/>
              </w:rPr>
              <w:t xml:space="preserve">Z pełną celnością wiedzy </w:t>
            </w:r>
            <w:r>
              <w:t xml:space="preserve"> studentów  z dziejami filozofii polskiej. Wykłady mają za zadanie dostarczyć również studentom wiedzy odnośnie różnych metod interpretacyjnych oraz zapoznać z najważniejszymi i najnowszymi opracowaniami </w:t>
            </w:r>
            <w:r>
              <w:rPr>
                <w:i/>
              </w:rPr>
              <w:t>Historii filozofii polskiej</w:t>
            </w:r>
            <w:r>
              <w:t xml:space="preserve">. Celem wykładu jest również ukazanie </w:t>
            </w:r>
            <w:r>
              <w:rPr>
                <w:i/>
              </w:rPr>
              <w:t xml:space="preserve"> </w:t>
            </w:r>
            <w:r>
              <w:t>filozofii polskiej w szerszych kontekstach:  filozofii europejskiej, kulturowo-społecznym, oraz ukazanie znaczenia filozofii polskiej dla całokształtu kultury polskiej.</w:t>
            </w:r>
          </w:p>
          <w:p w:rsidR="004D0FC1" w:rsidRDefault="004D0FC1">
            <w:pPr>
              <w:pStyle w:val="Standard"/>
              <w:spacing w:after="200"/>
              <w:rPr>
                <w:rFonts w:ascii="Corbel" w:hAnsi="Corbel"/>
              </w:rPr>
            </w:pPr>
          </w:p>
          <w:p w:rsidR="004D0FC1" w:rsidRDefault="004D0F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  <w:p w:rsidR="004D0FC1" w:rsidRDefault="004D0FC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</w:p>
        </w:tc>
      </w:tr>
    </w:tbl>
    <w:p w:rsidR="004D0FC1" w:rsidRDefault="004D0FC1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:rsidR="004D0FC1" w:rsidRDefault="00FD461B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5. CAŁKOWITY NAKŁAD PRACY STUDENTA POTRZEBNY DO OSIĄGNIĘCIA ZAŁOŻONYCH EFEKTÓW W GODZINACH ORAZ PUNKTACH ECTS</w:t>
      </w:r>
    </w:p>
    <w:p w:rsidR="004D0FC1" w:rsidRDefault="004D0FC1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9639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1"/>
        <w:gridCol w:w="4678"/>
      </w:tblGrid>
      <w:tr w:rsidR="004D0FC1"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Akapitzlist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0FC1" w:rsidRDefault="00FD461B">
            <w:pPr>
              <w:pStyle w:val="Akapitzlist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4D0FC1"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Akapitzlist"/>
              <w:ind w:left="0"/>
            </w:pPr>
            <w:r>
              <w:rPr>
                <w:rFonts w:ascii="Corbel" w:hAnsi="Corbel"/>
              </w:rPr>
              <w:t xml:space="preserve">Godziny kontaktowe wynikające </w:t>
            </w:r>
            <w:r>
              <w:lastRenderedPageBreak/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Akapitzlist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30 w semestrze</w:t>
            </w:r>
          </w:p>
        </w:tc>
      </w:tr>
      <w:tr w:rsidR="004D0FC1"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Akapitzlist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Inne z udziałem nauczyciela akademickiego</w:t>
            </w:r>
          </w:p>
          <w:p w:rsidR="004D0FC1" w:rsidRDefault="00FD461B">
            <w:pPr>
              <w:pStyle w:val="Akapitzlist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(udział w konsultacjach, egzaminie)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Akapitzlist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10 godzin</w:t>
            </w:r>
          </w:p>
        </w:tc>
      </w:tr>
      <w:tr w:rsidR="004D0FC1"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Akapitzlist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proofErr w:type="spellStart"/>
            <w:r>
              <w:rPr>
                <w:rFonts w:ascii="Corbel" w:hAnsi="Corbel"/>
              </w:rPr>
              <w:t>niekontaktowe</w:t>
            </w:r>
            <w:proofErr w:type="spellEnd"/>
            <w:r>
              <w:rPr>
                <w:rFonts w:ascii="Corbel" w:hAnsi="Corbel"/>
              </w:rPr>
              <w:t xml:space="preserve"> – praca własna studenta</w:t>
            </w:r>
          </w:p>
          <w:p w:rsidR="004D0FC1" w:rsidRDefault="00FD461B">
            <w:pPr>
              <w:pStyle w:val="Akapitzlist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egzaminu, napisanie referatu itp.)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Akapitzlist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</w:tc>
      </w:tr>
      <w:tr w:rsidR="004D0FC1"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Akapitzlist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Akapitzlist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50</w:t>
            </w:r>
          </w:p>
        </w:tc>
      </w:tr>
      <w:tr w:rsidR="004D0FC1">
        <w:tc>
          <w:tcPr>
            <w:tcW w:w="49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Akapitzlist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Akapitzlist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2 ECTS</w:t>
            </w:r>
          </w:p>
        </w:tc>
      </w:tr>
    </w:tbl>
    <w:p w:rsidR="004D0FC1" w:rsidRDefault="00FD461B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</w:rPr>
      </w:pPr>
      <w:r>
        <w:rPr>
          <w:rFonts w:ascii="Corbel" w:hAnsi="Corbel"/>
          <w:b w:val="0"/>
          <w:i/>
          <w:smallCaps w:val="0"/>
        </w:rPr>
        <w:t>* Należy uwzględnić, że 1 pkt ECTS odpowiada 25-30 godzin całkowitego nakładu pracy studenta.</w:t>
      </w:r>
    </w:p>
    <w:p w:rsidR="004D0FC1" w:rsidRDefault="004D0FC1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:rsidR="004D0FC1" w:rsidRDefault="00FD461B">
      <w:pPr>
        <w:pStyle w:val="Punktygwne"/>
        <w:spacing w:before="0" w:after="0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>6. PRAKTYKI ZAWODOWE W RAMACH PRZEDMIOTU</w:t>
      </w:r>
    </w:p>
    <w:p w:rsidR="004D0FC1" w:rsidRDefault="004D0FC1">
      <w:pPr>
        <w:pStyle w:val="Punktygwne"/>
        <w:spacing w:before="0" w:after="0"/>
        <w:ind w:left="360"/>
        <w:rPr>
          <w:rFonts w:ascii="Corbel" w:hAnsi="Corbel"/>
          <w:smallCaps w:val="0"/>
        </w:rPr>
      </w:pPr>
    </w:p>
    <w:tbl>
      <w:tblPr>
        <w:tblW w:w="7513" w:type="dxa"/>
        <w:tblInd w:w="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3"/>
        <w:gridCol w:w="3970"/>
      </w:tblGrid>
      <w:tr w:rsidR="004D0FC1">
        <w:trPr>
          <w:trHeight w:val="397"/>
        </w:trPr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Brak oczekiwań w tym zakresie</w:t>
            </w:r>
          </w:p>
        </w:tc>
      </w:tr>
      <w:tr w:rsidR="004D0FC1">
        <w:trPr>
          <w:trHeight w:val="397"/>
        </w:trPr>
        <w:tc>
          <w:tcPr>
            <w:tcW w:w="35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Brak określeń</w:t>
            </w:r>
          </w:p>
        </w:tc>
      </w:tr>
    </w:tbl>
    <w:p w:rsidR="004D0FC1" w:rsidRDefault="004D0FC1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:rsidR="004D0FC1" w:rsidRDefault="00FD461B">
      <w:pPr>
        <w:pStyle w:val="Punktygwne"/>
        <w:spacing w:before="0" w:after="0"/>
        <w:rPr>
          <w:rFonts w:ascii="Corbel" w:hAnsi="Corbel"/>
          <w:smallCaps w:val="0"/>
        </w:rPr>
      </w:pPr>
      <w:r>
        <w:rPr>
          <w:rFonts w:ascii="Corbel" w:hAnsi="Corbel"/>
          <w:smallCaps w:val="0"/>
        </w:rPr>
        <w:t>7. LITERATURA</w:t>
      </w:r>
    </w:p>
    <w:p w:rsidR="004D0FC1" w:rsidRDefault="004D0FC1">
      <w:pPr>
        <w:pStyle w:val="Punktygwne"/>
        <w:spacing w:before="0" w:after="0"/>
        <w:rPr>
          <w:rFonts w:ascii="Corbel" w:hAnsi="Corbel"/>
          <w:smallCaps w:val="0"/>
        </w:rPr>
      </w:pPr>
    </w:p>
    <w:tbl>
      <w:tblPr>
        <w:tblW w:w="7513" w:type="dxa"/>
        <w:tblInd w:w="56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13"/>
      </w:tblGrid>
      <w:tr w:rsidR="004D0FC1">
        <w:trPr>
          <w:trHeight w:val="397"/>
        </w:trPr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Literatura podstawowa:</w:t>
            </w:r>
          </w:p>
          <w:p w:rsidR="004D0FC1" w:rsidRDefault="00FD461B">
            <w:pPr>
              <w:pStyle w:val="Akapitzlist"/>
              <w:numPr>
                <w:ilvl w:val="0"/>
                <w:numId w:val="20"/>
              </w:numPr>
            </w:pPr>
            <w:r>
              <w:t xml:space="preserve">Skoczyński J., Woleński J., </w:t>
            </w:r>
            <w:r>
              <w:rPr>
                <w:i/>
              </w:rPr>
              <w:t>Historia filozofii polskiej</w:t>
            </w:r>
            <w:r>
              <w:t>, WAM, Kraków 2010;</w:t>
            </w:r>
          </w:p>
          <w:p w:rsidR="004D0FC1" w:rsidRDefault="00FD461B">
            <w:pPr>
              <w:pStyle w:val="Akapitzlist"/>
              <w:numPr>
                <w:ilvl w:val="0"/>
                <w:numId w:val="13"/>
              </w:numPr>
            </w:pPr>
            <w:r>
              <w:t xml:space="preserve">Wąsik W., </w:t>
            </w:r>
            <w:r>
              <w:rPr>
                <w:i/>
              </w:rPr>
              <w:t>Historia filozofii polskiej</w:t>
            </w:r>
            <w:r>
              <w:t>; T.1-2, PAX, Warszawa 1956-1966;</w:t>
            </w:r>
          </w:p>
          <w:p w:rsidR="004D0FC1" w:rsidRDefault="00FD461B">
            <w:pPr>
              <w:pStyle w:val="Akapitzlist"/>
              <w:numPr>
                <w:ilvl w:val="0"/>
                <w:numId w:val="13"/>
              </w:numPr>
            </w:pPr>
            <w:r>
              <w:rPr>
                <w:i/>
              </w:rPr>
              <w:t>Zarys dziejów filozofii polskiej 1830-1918</w:t>
            </w:r>
            <w:r>
              <w:t>, red, A. Walicki, Warszawa 1983;</w:t>
            </w:r>
          </w:p>
          <w:p w:rsidR="004D0FC1" w:rsidRDefault="00FD461B">
            <w:pPr>
              <w:pStyle w:val="Akapitzlist"/>
              <w:numPr>
                <w:ilvl w:val="0"/>
                <w:numId w:val="13"/>
              </w:numPr>
            </w:pPr>
            <w:r>
              <w:t xml:space="preserve">Bochenek K., </w:t>
            </w:r>
            <w:proofErr w:type="spellStart"/>
            <w:r>
              <w:t>Gawor</w:t>
            </w:r>
            <w:proofErr w:type="spellEnd"/>
            <w:r>
              <w:t xml:space="preserve"> L., Michalik M., Wojtowicz R., </w:t>
            </w:r>
            <w:r>
              <w:rPr>
                <w:i/>
              </w:rPr>
              <w:t xml:space="preserve">Zarys historii filozofii polskiej, </w:t>
            </w:r>
            <w:r>
              <w:t>Rzeszów 2013.</w:t>
            </w:r>
          </w:p>
          <w:p w:rsidR="004D0FC1" w:rsidRDefault="004D0FC1">
            <w:pPr>
              <w:pStyle w:val="Akapitzlist"/>
              <w:ind w:left="1425"/>
            </w:pPr>
          </w:p>
          <w:p w:rsidR="004D0FC1" w:rsidRDefault="004D0FC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  <w:tr w:rsidR="004D0FC1">
        <w:trPr>
          <w:trHeight w:val="397"/>
        </w:trPr>
        <w:tc>
          <w:tcPr>
            <w:tcW w:w="75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0FC1" w:rsidRDefault="00FD461B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>
              <w:rPr>
                <w:b w:val="0"/>
                <w:smallCaps w:val="0"/>
                <w:sz w:val="22"/>
              </w:rPr>
              <w:t>Literatura uzupełniająca:</w:t>
            </w:r>
          </w:p>
          <w:p w:rsidR="004D0FC1" w:rsidRDefault="00FD461B">
            <w:pPr>
              <w:pStyle w:val="Akapitzlist"/>
              <w:numPr>
                <w:ilvl w:val="0"/>
                <w:numId w:val="21"/>
              </w:numPr>
            </w:pPr>
            <w:r>
              <w:t xml:space="preserve">S. Jedynak, </w:t>
            </w:r>
            <w:r>
              <w:rPr>
                <w:i/>
              </w:rPr>
              <w:t>Etyka w Polsce</w:t>
            </w:r>
            <w:r>
              <w:t>, Ossolineum 1986;</w:t>
            </w:r>
          </w:p>
          <w:p w:rsidR="004D0FC1" w:rsidRDefault="00FD461B">
            <w:pPr>
              <w:pStyle w:val="Akapitzlist"/>
              <w:numPr>
                <w:ilvl w:val="0"/>
                <w:numId w:val="14"/>
              </w:numPr>
            </w:pPr>
            <w:r>
              <w:rPr>
                <w:i/>
              </w:rPr>
              <w:t>Polska myśl filozoficzna</w:t>
            </w:r>
            <w:r>
              <w:t>, t. 13, red. B. Skarga, Warszawa 1975-1977;</w:t>
            </w:r>
          </w:p>
          <w:p w:rsidR="004D0FC1" w:rsidRDefault="00FD461B">
            <w:pPr>
              <w:pStyle w:val="Akapitzlist"/>
              <w:numPr>
                <w:ilvl w:val="0"/>
                <w:numId w:val="14"/>
              </w:numPr>
            </w:pPr>
            <w:r>
              <w:t xml:space="preserve">Tatarkiewicz W. </w:t>
            </w:r>
            <w:r>
              <w:rPr>
                <w:i/>
              </w:rPr>
              <w:t>Zarys dziejów filozofii w Polsce</w:t>
            </w:r>
            <w:r>
              <w:t>;</w:t>
            </w:r>
          </w:p>
          <w:p w:rsidR="004D0FC1" w:rsidRDefault="00FD461B">
            <w:pPr>
              <w:pStyle w:val="Akapitzlist"/>
              <w:numPr>
                <w:ilvl w:val="0"/>
                <w:numId w:val="14"/>
              </w:numPr>
            </w:pPr>
            <w:r>
              <w:rPr>
                <w:i/>
              </w:rPr>
              <w:t>Filozofia w Polsce. Słownik pisarzy,</w:t>
            </w:r>
            <w:r>
              <w:t xml:space="preserve"> Warszawa 1971;</w:t>
            </w:r>
          </w:p>
          <w:p w:rsidR="004D0FC1" w:rsidRDefault="00FD461B">
            <w:pPr>
              <w:pStyle w:val="Akapitzlist"/>
              <w:numPr>
                <w:ilvl w:val="0"/>
                <w:numId w:val="14"/>
              </w:numPr>
            </w:pPr>
            <w:r>
              <w:rPr>
                <w:i/>
              </w:rPr>
              <w:t>Z dziejów filozofii polskiej</w:t>
            </w:r>
            <w:r>
              <w:t xml:space="preserve">, red. </w:t>
            </w:r>
            <w:proofErr w:type="spellStart"/>
            <w:r>
              <w:t>Gawor</w:t>
            </w:r>
            <w:proofErr w:type="spellEnd"/>
          </w:p>
          <w:p w:rsidR="004D0FC1" w:rsidRDefault="00FD461B">
            <w:pPr>
              <w:pStyle w:val="Standard"/>
              <w:ind w:left="1065"/>
            </w:pPr>
            <w:r>
              <w:t>L, Lublin 1992;</w:t>
            </w:r>
          </w:p>
          <w:p w:rsidR="004D0FC1" w:rsidRDefault="00FD461B">
            <w:pPr>
              <w:pStyle w:val="Akapitzlist"/>
              <w:numPr>
                <w:ilvl w:val="0"/>
                <w:numId w:val="14"/>
              </w:numPr>
            </w:pPr>
            <w:r>
              <w:t xml:space="preserve">S. Borzym, </w:t>
            </w:r>
            <w:r>
              <w:rPr>
                <w:i/>
              </w:rPr>
              <w:t>Panorama polskiej myśli filozoficznej</w:t>
            </w:r>
            <w:r>
              <w:t>, Warszawa 1993;</w:t>
            </w:r>
          </w:p>
          <w:p w:rsidR="004D0FC1" w:rsidRDefault="00FD461B">
            <w:pPr>
              <w:pStyle w:val="Akapitzlist"/>
              <w:numPr>
                <w:ilvl w:val="0"/>
                <w:numId w:val="14"/>
              </w:numPr>
            </w:pPr>
            <w:proofErr w:type="spellStart"/>
            <w:r>
              <w:t>Gawor</w:t>
            </w:r>
            <w:proofErr w:type="spellEnd"/>
            <w:r>
              <w:t xml:space="preserve"> L., </w:t>
            </w:r>
            <w:r>
              <w:rPr>
                <w:i/>
              </w:rPr>
              <w:t>Katastrofizm w polskiej filozofii i myśli społecznej</w:t>
            </w:r>
            <w:r>
              <w:t>, Lublin 1999;</w:t>
            </w:r>
          </w:p>
          <w:p w:rsidR="004D0FC1" w:rsidRDefault="00FD461B">
            <w:pPr>
              <w:pStyle w:val="Akapitzlist"/>
              <w:numPr>
                <w:ilvl w:val="0"/>
                <w:numId w:val="14"/>
              </w:numPr>
            </w:pPr>
            <w:r>
              <w:t>R. Palacz</w:t>
            </w:r>
            <w:r>
              <w:rPr>
                <w:i/>
              </w:rPr>
              <w:t>, Klasycy polskiej filozofii,</w:t>
            </w:r>
            <w:r>
              <w:t xml:space="preserve"> Zielona Góra 1999;</w:t>
            </w:r>
          </w:p>
          <w:p w:rsidR="004D0FC1" w:rsidRDefault="00FD461B">
            <w:pPr>
              <w:pStyle w:val="Akapitzlist"/>
              <w:numPr>
                <w:ilvl w:val="0"/>
                <w:numId w:val="14"/>
              </w:numPr>
            </w:pPr>
            <w:r>
              <w:t xml:space="preserve">Truchlińska B., </w:t>
            </w:r>
            <w:r>
              <w:rPr>
                <w:i/>
              </w:rPr>
              <w:t>Filozofia Polska</w:t>
            </w:r>
            <w:r>
              <w:t>, Kielce 2001;</w:t>
            </w:r>
          </w:p>
          <w:p w:rsidR="004D0FC1" w:rsidRDefault="00FD461B">
            <w:pPr>
              <w:pStyle w:val="Akapitzlist"/>
              <w:numPr>
                <w:ilvl w:val="0"/>
                <w:numId w:val="14"/>
              </w:numPr>
            </w:pPr>
            <w:r>
              <w:t xml:space="preserve">W. Mackiewicza, </w:t>
            </w:r>
            <w:r>
              <w:rPr>
                <w:i/>
              </w:rPr>
              <w:t>Ludzie i idee</w:t>
            </w:r>
            <w:r>
              <w:t>, Warszawa 2003;</w:t>
            </w:r>
          </w:p>
          <w:p w:rsidR="004D0FC1" w:rsidRDefault="004D0FC1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</w:tbl>
    <w:p w:rsidR="004D0FC1" w:rsidRDefault="004D0FC1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:rsidR="004D0FC1" w:rsidRDefault="004D0FC1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:rsidR="004D0FC1" w:rsidRDefault="00FD461B">
      <w:pPr>
        <w:pStyle w:val="Standard"/>
        <w:ind w:left="360"/>
        <w:rPr>
          <w:rFonts w:ascii="Corbel" w:hAnsi="Corbel"/>
        </w:rPr>
      </w:pPr>
      <w:r>
        <w:rPr>
          <w:rFonts w:ascii="Corbel" w:hAnsi="Corbel"/>
        </w:rPr>
        <w:t>Akceptacja Kierownika Jednostki lub osoby upoważnionej</w:t>
      </w:r>
    </w:p>
    <w:sectPr w:rsidR="004D0FC1">
      <w:pgSz w:w="11905" w:h="16837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109" w:rsidRDefault="00622109">
      <w:r>
        <w:separator/>
      </w:r>
    </w:p>
  </w:endnote>
  <w:endnote w:type="continuationSeparator" w:id="0">
    <w:p w:rsidR="00622109" w:rsidRDefault="00622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109" w:rsidRDefault="00622109">
      <w:r>
        <w:rPr>
          <w:color w:val="000000"/>
        </w:rPr>
        <w:separator/>
      </w:r>
    </w:p>
  </w:footnote>
  <w:footnote w:type="continuationSeparator" w:id="0">
    <w:p w:rsidR="00622109" w:rsidRDefault="00622109">
      <w:r>
        <w:continuationSeparator/>
      </w:r>
    </w:p>
  </w:footnote>
  <w:footnote w:id="1">
    <w:p w:rsidR="004D0FC1" w:rsidRDefault="00FD461B">
      <w:pPr>
        <w:pStyle w:val="Tekstprzypisudolnego"/>
      </w:pPr>
      <w:r>
        <w:rPr>
          <w:rStyle w:val="Odwoanieprzypisudolnego"/>
        </w:rPr>
        <w:footnoteRef/>
      </w:r>
      <w:r>
        <w:t>W przypadku ścieżki kształcenia prowadzącej do uzyskania kwalifikacji nauczycielskich uwzględnić również efekty uczenia się ze standardów kształcenia przygotowującego do wykonywania zawodu nauczyciela.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A65BC"/>
    <w:multiLevelType w:val="multilevel"/>
    <w:tmpl w:val="427CF5AE"/>
    <w:styleLink w:val="WW8Num5"/>
    <w:lvl w:ilvl="0">
      <w:start w:val="6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F0A13A2"/>
    <w:multiLevelType w:val="multilevel"/>
    <w:tmpl w:val="D03058DC"/>
    <w:styleLink w:val="WWNum1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2" w15:restartNumberingAfterBreak="0">
    <w:nsid w:val="1CBA5089"/>
    <w:multiLevelType w:val="multilevel"/>
    <w:tmpl w:val="B0FAD590"/>
    <w:styleLink w:val="WW8Num7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/>
        <w:i/>
        <w:caps w:val="0"/>
        <w:smallCaps w:val="0"/>
      </w:rPr>
    </w:lvl>
    <w:lvl w:ilvl="2">
      <w:start w:val="1"/>
      <w:numFmt w:val="decimal"/>
      <w:lvlText w:val="%1.%2.%3."/>
      <w:lvlJc w:val="left"/>
      <w:pPr>
        <w:ind w:left="1800" w:hanging="1080"/>
      </w:pPr>
    </w:lvl>
    <w:lvl w:ilvl="3">
      <w:start w:val="1"/>
      <w:numFmt w:val="decimal"/>
      <w:lvlText w:val="%1.%2.%3.%4."/>
      <w:lvlJc w:val="left"/>
      <w:pPr>
        <w:ind w:left="2520" w:hanging="1440"/>
      </w:pPr>
    </w:lvl>
    <w:lvl w:ilvl="4">
      <w:start w:val="1"/>
      <w:numFmt w:val="decimal"/>
      <w:lvlText w:val="%1.%2.%3.%4.%5."/>
      <w:lvlJc w:val="left"/>
      <w:pPr>
        <w:ind w:left="2880" w:hanging="1440"/>
      </w:pPr>
    </w:lvl>
    <w:lvl w:ilvl="5">
      <w:start w:val="1"/>
      <w:numFmt w:val="decimal"/>
      <w:lvlText w:val="%1.%2.%3.%4.%5.%6."/>
      <w:lvlJc w:val="left"/>
      <w:pPr>
        <w:ind w:left="3600" w:hanging="1800"/>
      </w:pPr>
    </w:lvl>
    <w:lvl w:ilvl="6">
      <w:start w:val="1"/>
      <w:numFmt w:val="decimal"/>
      <w:lvlText w:val="%1.%2.%3.%4.%5.%6.%7."/>
      <w:lvlJc w:val="left"/>
      <w:pPr>
        <w:ind w:left="4320" w:hanging="2160"/>
      </w:pPr>
    </w:lvl>
    <w:lvl w:ilvl="7">
      <w:start w:val="1"/>
      <w:numFmt w:val="decimal"/>
      <w:lvlText w:val="%1.%2.%3.%4.%5.%6.%7.%8."/>
      <w:lvlJc w:val="left"/>
      <w:pPr>
        <w:ind w:left="5040" w:hanging="2520"/>
      </w:pPr>
    </w:lvl>
    <w:lvl w:ilvl="8">
      <w:start w:val="1"/>
      <w:numFmt w:val="decimal"/>
      <w:lvlText w:val="%1.%2.%3.%4.%5.%6.%7.%8.%9."/>
      <w:lvlJc w:val="left"/>
      <w:pPr>
        <w:ind w:left="5400" w:hanging="2520"/>
      </w:pPr>
    </w:lvl>
  </w:abstractNum>
  <w:abstractNum w:abstractNumId="3" w15:restartNumberingAfterBreak="0">
    <w:nsid w:val="2499284E"/>
    <w:multiLevelType w:val="multilevel"/>
    <w:tmpl w:val="01CEA508"/>
    <w:styleLink w:val="WW8Num3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2BDB3311"/>
    <w:multiLevelType w:val="multilevel"/>
    <w:tmpl w:val="B7C47280"/>
    <w:styleLink w:val="WW8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" w15:restartNumberingAfterBreak="0">
    <w:nsid w:val="2F3429A8"/>
    <w:multiLevelType w:val="multilevel"/>
    <w:tmpl w:val="ABE4EA4E"/>
    <w:styleLink w:val="WW8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6" w15:restartNumberingAfterBreak="0">
    <w:nsid w:val="35BA58E6"/>
    <w:multiLevelType w:val="multilevel"/>
    <w:tmpl w:val="73808458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b/>
        <w:caps w:val="0"/>
        <w:smallCaps w:val="0"/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b w:val="0"/>
        <w:i/>
        <w:sz w:val="20"/>
      </w:rPr>
    </w:lvl>
    <w:lvl w:ilvl="2">
      <w:start w:val="1"/>
      <w:numFmt w:val="lowerRoman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7" w15:restartNumberingAfterBreak="0">
    <w:nsid w:val="39CB630B"/>
    <w:multiLevelType w:val="multilevel"/>
    <w:tmpl w:val="CE4A8FD4"/>
    <w:styleLink w:val="WW8Num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8" w15:restartNumberingAfterBreak="0">
    <w:nsid w:val="45E34B8A"/>
    <w:multiLevelType w:val="multilevel"/>
    <w:tmpl w:val="61043B94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caps w:val="0"/>
        <w:smallCap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9" w15:restartNumberingAfterBreak="0">
    <w:nsid w:val="468D407C"/>
    <w:multiLevelType w:val="multilevel"/>
    <w:tmpl w:val="2528E32A"/>
    <w:styleLink w:val="WW8Num12"/>
    <w:lvl w:ilvl="0">
      <w:start w:val="1"/>
      <w:numFmt w:val="upperRoman"/>
      <w:lvlText w:val="%1."/>
      <w:lvlJc w:val="left"/>
      <w:pPr>
        <w:ind w:left="720" w:hanging="360"/>
      </w:pPr>
      <w:rPr>
        <w:lang w:eastAsia="pl-P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0" w15:restartNumberingAfterBreak="0">
    <w:nsid w:val="5B372968"/>
    <w:multiLevelType w:val="multilevel"/>
    <w:tmpl w:val="44FA76D8"/>
    <w:styleLink w:val="WW8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1" w15:restartNumberingAfterBreak="0">
    <w:nsid w:val="60670F4B"/>
    <w:multiLevelType w:val="multilevel"/>
    <w:tmpl w:val="CD5CE5AE"/>
    <w:styleLink w:val="WW8Num6"/>
    <w:lvl w:ilvl="0">
      <w:start w:val="1"/>
      <w:numFmt w:val="decimal"/>
      <w:lvlText w:val="%1."/>
      <w:lvlJc w:val="left"/>
      <w:pPr>
        <w:ind w:left="720" w:hanging="360"/>
      </w:pPr>
      <w:rPr>
        <w:lang w:eastAsia="pl-P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2" w15:restartNumberingAfterBreak="0">
    <w:nsid w:val="619C6442"/>
    <w:multiLevelType w:val="multilevel"/>
    <w:tmpl w:val="1186AF96"/>
    <w:styleLink w:val="WW8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160" w:hanging="360"/>
      </w:pPr>
    </w:lvl>
    <w:lvl w:ilvl="5">
      <w:start w:val="1"/>
      <w:numFmt w:val="lowerRoman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13" w15:restartNumberingAfterBreak="0">
    <w:nsid w:val="78CE3B07"/>
    <w:multiLevelType w:val="multilevel"/>
    <w:tmpl w:val="885A5E48"/>
    <w:styleLink w:val="WW8Num1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3"/>
      <w:numFmt w:val="decimal"/>
      <w:lvlText w:val="%1.%2"/>
      <w:lvlJc w:val="left"/>
      <w:pPr>
        <w:ind w:left="862" w:hanging="720"/>
      </w:pPr>
      <w:rPr>
        <w:b/>
        <w:i/>
        <w:caps w:val="0"/>
        <w:smallCaps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14" w15:restartNumberingAfterBreak="0">
    <w:nsid w:val="7E251E5A"/>
    <w:multiLevelType w:val="multilevel"/>
    <w:tmpl w:val="51B8619C"/>
    <w:styleLink w:val="WW8Num8"/>
    <w:lvl w:ilvl="0">
      <w:start w:val="2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i w:val="0"/>
        <w:caps w:val="0"/>
        <w:smallCaps w:val="0"/>
        <w:color w:val="000000"/>
        <w:sz w:val="22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10"/>
  </w:num>
  <w:num w:numId="6">
    <w:abstractNumId w:val="11"/>
  </w:num>
  <w:num w:numId="7">
    <w:abstractNumId w:val="13"/>
  </w:num>
  <w:num w:numId="8">
    <w:abstractNumId w:val="3"/>
  </w:num>
  <w:num w:numId="9">
    <w:abstractNumId w:val="9"/>
  </w:num>
  <w:num w:numId="10">
    <w:abstractNumId w:val="4"/>
  </w:num>
  <w:num w:numId="11">
    <w:abstractNumId w:val="14"/>
  </w:num>
  <w:num w:numId="12">
    <w:abstractNumId w:val="0"/>
  </w:num>
  <w:num w:numId="13">
    <w:abstractNumId w:val="12"/>
  </w:num>
  <w:num w:numId="14">
    <w:abstractNumId w:val="8"/>
  </w:num>
  <w:num w:numId="15">
    <w:abstractNumId w:val="1"/>
  </w:num>
  <w:num w:numId="16">
    <w:abstractNumId w:val="1"/>
    <w:lvlOverride w:ilvl="0">
      <w:startOverride w:val="1"/>
    </w:lvlOverride>
  </w:num>
  <w:num w:numId="17">
    <w:abstractNumId w:val="9"/>
    <w:lvlOverride w:ilvl="0">
      <w:startOverride w:val="1"/>
    </w:lvlOverride>
  </w:num>
  <w:num w:numId="18">
    <w:abstractNumId w:val="4"/>
    <w:lvlOverride w:ilvl="0">
      <w:startOverride w:val="1"/>
    </w:lvlOverride>
  </w:num>
  <w:num w:numId="19">
    <w:abstractNumId w:val="14"/>
    <w:lvlOverride w:ilvl="0">
      <w:startOverride w:val="2"/>
    </w:lvlOverride>
  </w:num>
  <w:num w:numId="20">
    <w:abstractNumId w:val="12"/>
    <w:lvlOverride w:ilvl="0">
      <w:startOverride w:val="1"/>
    </w:lvlOverride>
  </w:num>
  <w:num w:numId="21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FC1"/>
    <w:rsid w:val="004D0FC1"/>
    <w:rsid w:val="005A6E97"/>
    <w:rsid w:val="00622109"/>
    <w:rsid w:val="00EF30E5"/>
    <w:rsid w:val="00FD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43C86"/>
  <w15:docId w15:val="{CF0A018B-143C-4F74-BA6D-AC02423A3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Punktygwne">
    <w:name w:val="Punkty główne"/>
    <w:basedOn w:val="Standard"/>
    <w:pPr>
      <w:spacing w:before="240" w:after="60"/>
    </w:pPr>
    <w:rPr>
      <w:rFonts w:cs="Times New Roman"/>
      <w:b/>
      <w:smallCaps/>
    </w:rPr>
  </w:style>
  <w:style w:type="paragraph" w:customStyle="1" w:styleId="Pytania">
    <w:name w:val="Pytania"/>
    <w:basedOn w:val="Textbody"/>
    <w:pPr>
      <w:overflowPunct w:val="0"/>
      <w:autoSpaceDE w:val="0"/>
      <w:spacing w:before="40" w:after="40"/>
      <w:jc w:val="both"/>
    </w:pPr>
    <w:rPr>
      <w:rFonts w:eastAsia="Times New Roman" w:cs="Times New Roman"/>
      <w:sz w:val="20"/>
      <w:szCs w:val="20"/>
    </w:rPr>
  </w:style>
  <w:style w:type="paragraph" w:customStyle="1" w:styleId="Odpowiedzi">
    <w:name w:val="Odpowiedzi"/>
    <w:basedOn w:val="Standard"/>
    <w:pPr>
      <w:spacing w:before="40" w:after="40"/>
    </w:pPr>
    <w:rPr>
      <w:rFonts w:cs="Times New Roman"/>
      <w:b/>
      <w:color w:val="000000"/>
      <w:sz w:val="20"/>
    </w:rPr>
  </w:style>
  <w:style w:type="paragraph" w:customStyle="1" w:styleId="Podpunkty">
    <w:name w:val="Podpunkty"/>
    <w:basedOn w:val="Textbody"/>
    <w:pPr>
      <w:overflowPunct w:val="0"/>
      <w:autoSpaceDE w:val="0"/>
      <w:spacing w:after="0"/>
      <w:ind w:left="360"/>
      <w:jc w:val="both"/>
    </w:pPr>
    <w:rPr>
      <w:rFonts w:eastAsia="Times New Roman" w:cs="Times New Roman"/>
      <w:b/>
      <w:szCs w:val="20"/>
    </w:rPr>
  </w:style>
  <w:style w:type="paragraph" w:customStyle="1" w:styleId="Nagwkitablic">
    <w:name w:val="Nagłówki tablic"/>
    <w:basedOn w:val="Textbody"/>
    <w:rPr>
      <w:rFonts w:cs="Times New Roman"/>
    </w:rPr>
  </w:style>
  <w:style w:type="paragraph" w:customStyle="1" w:styleId="centralniewrubryce">
    <w:name w:val="centralnie w rubryce"/>
    <w:basedOn w:val="Standard"/>
    <w:pPr>
      <w:overflowPunct w:val="0"/>
      <w:autoSpaceDE w:val="0"/>
      <w:spacing w:before="40" w:after="40"/>
      <w:jc w:val="center"/>
    </w:pPr>
    <w:rPr>
      <w:rFonts w:eastAsia="Times New Roman" w:cs="Times New Roman"/>
      <w:sz w:val="20"/>
      <w:szCs w:val="20"/>
    </w:rPr>
  </w:style>
  <w:style w:type="paragraph" w:customStyle="1" w:styleId="Cele">
    <w:name w:val="Cele"/>
    <w:basedOn w:val="Textbody"/>
    <w:pPr>
      <w:overflowPunct w:val="0"/>
      <w:autoSpaceDE w:val="0"/>
      <w:spacing w:before="120" w:after="0"/>
      <w:ind w:left="900" w:hanging="540"/>
      <w:jc w:val="both"/>
    </w:pPr>
    <w:rPr>
      <w:rFonts w:eastAsia="Times New Roman" w:cs="Times New Roman"/>
      <w:sz w:val="20"/>
      <w:szCs w:val="20"/>
    </w:rPr>
  </w:style>
  <w:style w:type="paragraph" w:styleId="Akapitzlist">
    <w:name w:val="List Paragraph"/>
    <w:basedOn w:val="Standard"/>
    <w:pPr>
      <w:ind w:left="720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Footnote">
    <w:name w:val="Footnote"/>
    <w:basedOn w:val="Standard"/>
    <w:pPr>
      <w:suppressLineNumbers/>
      <w:ind w:left="283" w:hanging="283"/>
    </w:pPr>
    <w:rPr>
      <w:sz w:val="20"/>
      <w:szCs w:val="20"/>
    </w:rPr>
  </w:style>
  <w:style w:type="paragraph" w:styleId="Tekstprzypisudolnego">
    <w:name w:val="footnote text"/>
    <w:basedOn w:val="Standard"/>
    <w:rPr>
      <w:sz w:val="20"/>
      <w:szCs w:val="20"/>
    </w:rPr>
  </w:style>
  <w:style w:type="paragraph" w:styleId="Bezodstpw">
    <w:name w:val="No Spacing"/>
    <w:pPr>
      <w:widowControl/>
    </w:pPr>
    <w:rPr>
      <w:rFonts w:ascii="Calibri" w:hAnsi="Calibri"/>
      <w:sz w:val="22"/>
      <w:szCs w:val="22"/>
      <w:lang w:eastAsia="en-US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7z0">
    <w:name w:val="WW8Num7z0"/>
  </w:style>
  <w:style w:type="character" w:customStyle="1" w:styleId="WW8Num7z1">
    <w:name w:val="WW8Num7z1"/>
    <w:rPr>
      <w:b/>
      <w:i/>
      <w:caps w:val="0"/>
      <w:smallCaps w:val="0"/>
    </w:rPr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b/>
      <w:caps w:val="0"/>
      <w:smallCaps w:val="0"/>
      <w:color w:val="000000"/>
    </w:rPr>
  </w:style>
  <w:style w:type="character" w:customStyle="1" w:styleId="WW8Num10z1">
    <w:name w:val="WW8Num10z1"/>
    <w:rPr>
      <w:b w:val="0"/>
      <w:i/>
      <w:sz w:val="20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6z0">
    <w:name w:val="WW8Num6z0"/>
    <w:rPr>
      <w:lang w:eastAsia="pl-PL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1z0">
    <w:name w:val="WW8Num1z0"/>
  </w:style>
  <w:style w:type="character" w:customStyle="1" w:styleId="WW8Num1z1">
    <w:name w:val="WW8Num1z1"/>
    <w:rPr>
      <w:b/>
      <w:i/>
      <w:caps w:val="0"/>
      <w:smallCaps w:val="0"/>
    </w:rPr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3z0">
    <w:name w:val="WW8Num3z0"/>
  </w:style>
  <w:style w:type="character" w:customStyle="1" w:styleId="WW8Num12z0">
    <w:name w:val="WW8Num12z0"/>
    <w:rPr>
      <w:lang w:eastAsia="pl-PL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8z0">
    <w:name w:val="WW8Num8z0"/>
  </w:style>
  <w:style w:type="character" w:customStyle="1" w:styleId="WW8Num8z1">
    <w:name w:val="WW8Num8z1"/>
    <w:rPr>
      <w:b w:val="0"/>
      <w:i w:val="0"/>
      <w:caps w:val="0"/>
      <w:smallCaps w:val="0"/>
      <w:color w:val="000000"/>
      <w:sz w:val="22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5z0">
    <w:name w:val="WW8Num5z0"/>
    <w:rPr>
      <w:b/>
    </w:rPr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4z0">
    <w:name w:val="WW8Num4z0"/>
    <w:rPr>
      <w:caps w:val="0"/>
      <w:smallCaps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numbering" w:customStyle="1" w:styleId="WW8Num7">
    <w:name w:val="WW8Num7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9">
    <w:name w:val="WW8Num9"/>
    <w:basedOn w:val="Bezlisty"/>
    <w:pPr>
      <w:numPr>
        <w:numId w:val="3"/>
      </w:numPr>
    </w:pPr>
  </w:style>
  <w:style w:type="numbering" w:customStyle="1" w:styleId="WW8Num10">
    <w:name w:val="WW8Num10"/>
    <w:basedOn w:val="Bezlisty"/>
    <w:pPr>
      <w:numPr>
        <w:numId w:val="4"/>
      </w:numPr>
    </w:pPr>
  </w:style>
  <w:style w:type="numbering" w:customStyle="1" w:styleId="WW8Num11">
    <w:name w:val="WW8Num11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1">
    <w:name w:val="WW8Num1"/>
    <w:basedOn w:val="Bezlisty"/>
    <w:pPr>
      <w:numPr>
        <w:numId w:val="7"/>
      </w:numPr>
    </w:pPr>
  </w:style>
  <w:style w:type="numbering" w:customStyle="1" w:styleId="WW8Num3">
    <w:name w:val="WW8Num3"/>
    <w:basedOn w:val="Bezlisty"/>
    <w:pPr>
      <w:numPr>
        <w:numId w:val="8"/>
      </w:numPr>
    </w:pPr>
  </w:style>
  <w:style w:type="numbering" w:customStyle="1" w:styleId="WW8Num12">
    <w:name w:val="WW8Num12"/>
    <w:basedOn w:val="Bezlisty"/>
    <w:pPr>
      <w:numPr>
        <w:numId w:val="9"/>
      </w:numPr>
    </w:pPr>
  </w:style>
  <w:style w:type="numbering" w:customStyle="1" w:styleId="WW8Num13">
    <w:name w:val="WW8Num13"/>
    <w:basedOn w:val="Bezlisty"/>
    <w:pPr>
      <w:numPr>
        <w:numId w:val="10"/>
      </w:numPr>
    </w:pPr>
  </w:style>
  <w:style w:type="numbering" w:customStyle="1" w:styleId="WW8Num8">
    <w:name w:val="WW8Num8"/>
    <w:basedOn w:val="Bezlisty"/>
    <w:pPr>
      <w:numPr>
        <w:numId w:val="11"/>
      </w:numPr>
    </w:pPr>
  </w:style>
  <w:style w:type="numbering" w:customStyle="1" w:styleId="WW8Num5">
    <w:name w:val="WW8Num5"/>
    <w:basedOn w:val="Bezlisty"/>
    <w:pPr>
      <w:numPr>
        <w:numId w:val="12"/>
      </w:numPr>
    </w:pPr>
  </w:style>
  <w:style w:type="numbering" w:customStyle="1" w:styleId="WW8Num14">
    <w:name w:val="WW8Num14"/>
    <w:basedOn w:val="Bezlisty"/>
    <w:pPr>
      <w:numPr>
        <w:numId w:val="13"/>
      </w:numPr>
    </w:pPr>
  </w:style>
  <w:style w:type="numbering" w:customStyle="1" w:styleId="WW8Num4">
    <w:name w:val="WW8Num4"/>
    <w:basedOn w:val="Bezlisty"/>
    <w:pPr>
      <w:numPr>
        <w:numId w:val="14"/>
      </w:numPr>
    </w:pPr>
  </w:style>
  <w:style w:type="numbering" w:customStyle="1" w:styleId="WWNum1">
    <w:name w:val="WWNum1"/>
    <w:basedOn w:val="Bezlisty"/>
    <w:pPr>
      <w:numPr>
        <w:numId w:val="15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1295</Words>
  <Characters>7776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Użytkownik systemu Windows</cp:lastModifiedBy>
  <cp:revision>4</cp:revision>
  <cp:lastPrinted>2022-12-09T08:25:00Z</cp:lastPrinted>
  <dcterms:created xsi:type="dcterms:W3CDTF">2022-12-09T08:25:00Z</dcterms:created>
  <dcterms:modified xsi:type="dcterms:W3CDTF">2024-08-12T10:27:00Z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